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ACB37" w14:textId="77777777" w:rsidR="00FA0E93" w:rsidRPr="002C17B1" w:rsidRDefault="00FA0E93" w:rsidP="00FA0E93">
      <w:pPr>
        <w:jc w:val="center"/>
        <w:rPr>
          <w:rFonts w:asciiTheme="majorBidi" w:hAnsiTheme="majorBidi" w:cstheme="majorBidi"/>
          <w:b/>
          <w:bCs/>
          <w:color w:val="000000"/>
        </w:rPr>
      </w:pPr>
      <w:r w:rsidRPr="002C17B1">
        <w:rPr>
          <w:rFonts w:asciiTheme="majorBidi" w:hAnsiTheme="majorBidi" w:cstheme="majorBidi"/>
          <w:b/>
          <w:bCs/>
        </w:rPr>
        <w:t>FORMAT OF UNDERTAKING</w:t>
      </w:r>
    </w:p>
    <w:p w14:paraId="44069F44" w14:textId="77777777" w:rsidR="00FA0E93" w:rsidRDefault="00FA0E93" w:rsidP="00FA0E93">
      <w:pPr>
        <w:spacing w:line="276" w:lineRule="auto"/>
        <w:ind w:right="113"/>
        <w:jc w:val="both"/>
        <w:rPr>
          <w:rFonts w:ascii="Times New Roman" w:eastAsia="Times New Roman" w:hAnsi="Times New Roman" w:cs="Times New Roman"/>
          <w:b/>
          <w:color w:val="000000"/>
        </w:rPr>
      </w:pPr>
    </w:p>
    <w:p w14:paraId="7B28863C" w14:textId="1FBD80E5" w:rsidR="00FA0E93" w:rsidRPr="00375726" w:rsidRDefault="00FA0E93" w:rsidP="00FA0E93">
      <w:pPr>
        <w:spacing w:line="276" w:lineRule="auto"/>
        <w:ind w:right="113"/>
        <w:jc w:val="both"/>
        <w:rPr>
          <w:rFonts w:ascii="Times New Roman" w:eastAsia="Times New Roman" w:hAnsi="Times New Roman" w:cs="Times New Roman"/>
          <w:i/>
          <w:color w:val="808080"/>
        </w:rPr>
      </w:pPr>
      <w:r w:rsidRPr="00375726">
        <w:rPr>
          <w:rFonts w:ascii="Times New Roman" w:eastAsia="Times New Roman" w:hAnsi="Times New Roman" w:cs="Times New Roman"/>
          <w:i/>
          <w:color w:val="808080"/>
        </w:rPr>
        <w:t xml:space="preserve">To be on non-judicial stamp paper. The stamp duty will </w:t>
      </w:r>
      <w:r>
        <w:rPr>
          <w:rFonts w:ascii="Times New Roman" w:eastAsia="Times New Roman" w:hAnsi="Times New Roman" w:cs="Times New Roman"/>
          <w:i/>
          <w:color w:val="808080"/>
        </w:rPr>
        <w:t>be calculated on the basis of the stamp duty payable in Mumbai</w:t>
      </w:r>
    </w:p>
    <w:p w14:paraId="5CB2B789" w14:textId="77777777" w:rsidR="00FA0E93" w:rsidRPr="00375726" w:rsidRDefault="00FA0E93" w:rsidP="00FA0E93">
      <w:pPr>
        <w:spacing w:line="276" w:lineRule="auto"/>
        <w:ind w:right="113"/>
        <w:jc w:val="both"/>
        <w:rPr>
          <w:rFonts w:ascii="Times New Roman" w:eastAsia="Times New Roman" w:hAnsi="Times New Roman" w:cs="Times New Roman"/>
          <w:i/>
          <w:color w:val="808080"/>
        </w:rPr>
      </w:pPr>
      <w:r w:rsidRPr="00375726">
        <w:rPr>
          <w:rFonts w:ascii="Times New Roman" w:eastAsia="Times New Roman" w:hAnsi="Times New Roman" w:cs="Times New Roman"/>
          <w:i/>
          <w:color w:val="808080"/>
        </w:rPr>
        <w:t xml:space="preserve">The undertaking must be </w:t>
      </w:r>
      <w:r>
        <w:rPr>
          <w:rFonts w:ascii="Times New Roman" w:eastAsia="Times New Roman" w:hAnsi="Times New Roman" w:cs="Times New Roman"/>
          <w:i/>
          <w:color w:val="808080"/>
        </w:rPr>
        <w:t xml:space="preserve">signed by a </w:t>
      </w:r>
      <w:r w:rsidRPr="00375726">
        <w:rPr>
          <w:rFonts w:ascii="Times New Roman" w:eastAsia="Times New Roman" w:hAnsi="Times New Roman" w:cs="Times New Roman"/>
          <w:i/>
          <w:color w:val="808080"/>
        </w:rPr>
        <w:t xml:space="preserve">duly authorized </w:t>
      </w:r>
      <w:r>
        <w:rPr>
          <w:rFonts w:ascii="Times New Roman" w:eastAsia="Times New Roman" w:hAnsi="Times New Roman" w:cs="Times New Roman"/>
          <w:i/>
          <w:color w:val="808080"/>
        </w:rPr>
        <w:t>representative</w:t>
      </w:r>
      <w:r w:rsidRPr="00375726">
        <w:rPr>
          <w:rFonts w:ascii="Times New Roman" w:eastAsia="Times New Roman" w:hAnsi="Times New Roman" w:cs="Times New Roman"/>
          <w:i/>
          <w:color w:val="808080"/>
        </w:rPr>
        <w:t>.</w:t>
      </w:r>
    </w:p>
    <w:p w14:paraId="4F37F9D4" w14:textId="77777777" w:rsidR="00FA0E93" w:rsidRPr="00375726" w:rsidRDefault="00FA0E93" w:rsidP="00FA0E93">
      <w:pPr>
        <w:spacing w:line="276" w:lineRule="auto"/>
        <w:ind w:right="115"/>
        <w:jc w:val="both"/>
        <w:rPr>
          <w:rFonts w:ascii="Times New Roman" w:eastAsia="Times New Roman" w:hAnsi="Times New Roman" w:cs="Times New Roman"/>
          <w:i/>
          <w:color w:val="808080"/>
        </w:rPr>
      </w:pPr>
      <w:r w:rsidRPr="00375726">
        <w:rPr>
          <w:rFonts w:ascii="Times New Roman" w:eastAsia="Times New Roman" w:hAnsi="Times New Roman" w:cs="Times New Roman"/>
          <w:i/>
          <w:color w:val="808080"/>
        </w:rPr>
        <w:t xml:space="preserve">Each page of </w:t>
      </w:r>
      <w:r>
        <w:rPr>
          <w:rFonts w:ascii="Times New Roman" w:eastAsia="Times New Roman" w:hAnsi="Times New Roman" w:cs="Times New Roman"/>
          <w:i/>
          <w:color w:val="808080"/>
        </w:rPr>
        <w:t>this</w:t>
      </w:r>
      <w:r w:rsidRPr="00375726">
        <w:rPr>
          <w:rFonts w:ascii="Times New Roman" w:eastAsia="Times New Roman" w:hAnsi="Times New Roman" w:cs="Times New Roman"/>
          <w:i/>
          <w:color w:val="808080"/>
        </w:rPr>
        <w:t xml:space="preserve"> undertaking is required to be signed by the financial creditor at the bottom of the page and on the execution page, the authorized signatory must affix his/her full signature and additionally affix the rubber stamp seal of the financial creditor.</w:t>
      </w:r>
    </w:p>
    <w:p w14:paraId="7A9CC1CA" w14:textId="77777777" w:rsidR="00375726" w:rsidRPr="00375726" w:rsidRDefault="00375726" w:rsidP="00375726">
      <w:pPr>
        <w:spacing w:line="276" w:lineRule="auto"/>
        <w:ind w:left="119"/>
        <w:jc w:val="both"/>
        <w:rPr>
          <w:rFonts w:ascii="Times New Roman" w:eastAsia="Times New Roman" w:hAnsi="Times New Roman" w:cs="Times New Roman"/>
          <w:color w:val="808080"/>
        </w:rPr>
      </w:pPr>
    </w:p>
    <w:p w14:paraId="6AC35027" w14:textId="1764A2C2" w:rsidR="00375726" w:rsidRPr="00375726" w:rsidRDefault="00375726" w:rsidP="00375726">
      <w:pPr>
        <w:jc w:val="right"/>
        <w:rPr>
          <w:rFonts w:ascii="Times New Roman" w:hAnsi="Times New Roman" w:cs="Times New Roman"/>
        </w:rPr>
      </w:pPr>
      <w:r w:rsidRPr="00375726">
        <w:rPr>
          <w:rFonts w:ascii="Times New Roman" w:hAnsi="Times New Roman" w:cs="Times New Roman"/>
        </w:rPr>
        <w:t>Date:</w:t>
      </w:r>
      <w:r>
        <w:rPr>
          <w:rFonts w:ascii="Times New Roman" w:hAnsi="Times New Roman" w:cs="Times New Roman"/>
        </w:rPr>
        <w:t xml:space="preserve"> [</w:t>
      </w:r>
      <w:r w:rsidRPr="00375726">
        <w:rPr>
          <w:rFonts w:ascii="Times New Roman" w:hAnsi="Times New Roman" w:cs="Times New Roman"/>
          <w:highlight w:val="yellow"/>
        </w:rPr>
        <w:t>●</w:t>
      </w:r>
      <w:r>
        <w:rPr>
          <w:rFonts w:ascii="Times New Roman" w:hAnsi="Times New Roman" w:cs="Times New Roman"/>
        </w:rPr>
        <w:t>]</w:t>
      </w:r>
    </w:p>
    <w:p w14:paraId="61E6C60D" w14:textId="77777777" w:rsidR="00375726" w:rsidRPr="00375726" w:rsidRDefault="00375726" w:rsidP="00375726">
      <w:pPr>
        <w:rPr>
          <w:rFonts w:ascii="Times New Roman" w:hAnsi="Times New Roman" w:cs="Times New Roman"/>
        </w:rPr>
      </w:pPr>
    </w:p>
    <w:p w14:paraId="6D48D16A" w14:textId="77777777" w:rsidR="00375726" w:rsidRPr="00375726" w:rsidRDefault="00375726" w:rsidP="00375726">
      <w:pPr>
        <w:rPr>
          <w:rFonts w:ascii="Times New Roman" w:hAnsi="Times New Roman" w:cs="Times New Roman"/>
        </w:rPr>
      </w:pPr>
      <w:r w:rsidRPr="00375726">
        <w:rPr>
          <w:rFonts w:ascii="Times New Roman" w:hAnsi="Times New Roman" w:cs="Times New Roman"/>
        </w:rPr>
        <w:t>To,</w:t>
      </w:r>
    </w:p>
    <w:p w14:paraId="1D96B08B" w14:textId="77777777" w:rsidR="00375726" w:rsidRPr="00375726" w:rsidRDefault="00375726" w:rsidP="00375726">
      <w:pPr>
        <w:spacing w:line="276" w:lineRule="auto"/>
        <w:jc w:val="both"/>
        <w:rPr>
          <w:rFonts w:ascii="Times New Roman" w:hAnsi="Times New Roman" w:cs="Times New Roman"/>
          <w:b/>
          <w:color w:val="000000" w:themeColor="text1"/>
        </w:rPr>
      </w:pPr>
      <w:r w:rsidRPr="00375726">
        <w:rPr>
          <w:rFonts w:ascii="Times New Roman" w:hAnsi="Times New Roman" w:cs="Times New Roman"/>
          <w:b/>
          <w:color w:val="000000" w:themeColor="text1"/>
        </w:rPr>
        <w:t>Mr. Avil Menezes</w:t>
      </w:r>
    </w:p>
    <w:p w14:paraId="38FF80AA" w14:textId="77777777" w:rsidR="00375726" w:rsidRPr="00375726" w:rsidRDefault="00375726" w:rsidP="00375726">
      <w:pPr>
        <w:pStyle w:val="BodyText"/>
        <w:spacing w:line="276" w:lineRule="auto"/>
        <w:rPr>
          <w:rFonts w:eastAsia="Calibri"/>
          <w:bCs/>
          <w:color w:val="000000" w:themeColor="text1"/>
          <w:lang w:eastAsia="en-IN" w:bidi="en-US"/>
        </w:rPr>
      </w:pPr>
      <w:r w:rsidRPr="00375726">
        <w:rPr>
          <w:rFonts w:eastAsia="Calibri"/>
          <w:bCs/>
          <w:color w:val="000000" w:themeColor="text1"/>
          <w:lang w:eastAsia="en-IN" w:bidi="en-US"/>
        </w:rPr>
        <w:t>As Resolution Professional of Future Enterprises Limited</w:t>
      </w:r>
    </w:p>
    <w:p w14:paraId="3CF7CE21" w14:textId="73153207" w:rsidR="00375726" w:rsidRPr="00375726" w:rsidRDefault="00375726" w:rsidP="00375726">
      <w:pPr>
        <w:pStyle w:val="BodyText"/>
        <w:spacing w:line="276" w:lineRule="auto"/>
        <w:rPr>
          <w:rFonts w:eastAsia="Calibri"/>
          <w:bCs/>
          <w:color w:val="000000" w:themeColor="text1"/>
          <w:lang w:eastAsia="en-IN" w:bidi="en-US"/>
        </w:rPr>
      </w:pPr>
      <w:r w:rsidRPr="00375726">
        <w:rPr>
          <w:rFonts w:eastAsia="Calibri"/>
          <w:bCs/>
          <w:color w:val="000000" w:themeColor="text1"/>
          <w:lang w:eastAsia="en-IN" w:bidi="en-US"/>
        </w:rPr>
        <w:t xml:space="preserve">Authorization for Assignment valid till </w:t>
      </w:r>
      <w:r w:rsidR="00E50A2E">
        <w:rPr>
          <w:rFonts w:eastAsia="Calibri"/>
          <w:bCs/>
          <w:color w:val="000000" w:themeColor="text1"/>
          <w:lang w:eastAsia="en-IN" w:bidi="en-US"/>
        </w:rPr>
        <w:t>31 December 2025</w:t>
      </w:r>
    </w:p>
    <w:p w14:paraId="09AB8FB3" w14:textId="77777777" w:rsidR="00375726" w:rsidRPr="00375726" w:rsidRDefault="00375726" w:rsidP="00375726">
      <w:pPr>
        <w:pStyle w:val="BodyText"/>
        <w:spacing w:line="276" w:lineRule="auto"/>
        <w:rPr>
          <w:rFonts w:eastAsia="Calibri"/>
          <w:bCs/>
          <w:color w:val="000000" w:themeColor="text1"/>
          <w:lang w:eastAsia="en-IN" w:bidi="en-US"/>
        </w:rPr>
      </w:pPr>
      <w:r w:rsidRPr="00375726">
        <w:rPr>
          <w:rFonts w:eastAsia="Calibri"/>
          <w:bCs/>
          <w:color w:val="000000" w:themeColor="text1"/>
          <w:lang w:eastAsia="en-IN" w:bidi="en-US"/>
        </w:rPr>
        <w:t>Registration No. IBBI/IPA-001/IP-P00017/2016-17/10041</w:t>
      </w:r>
    </w:p>
    <w:p w14:paraId="15B472FD" w14:textId="77777777" w:rsidR="00375726" w:rsidRPr="00375726" w:rsidRDefault="00375726" w:rsidP="00375726">
      <w:pPr>
        <w:pStyle w:val="BodyText"/>
        <w:spacing w:line="276" w:lineRule="auto"/>
        <w:rPr>
          <w:rFonts w:eastAsia="Calibri"/>
          <w:bCs/>
          <w:color w:val="000000" w:themeColor="text1"/>
          <w:lang w:eastAsia="en-IN" w:bidi="en-US"/>
        </w:rPr>
      </w:pPr>
      <w:r w:rsidRPr="00375726">
        <w:rPr>
          <w:rFonts w:eastAsia="Calibri"/>
          <w:bCs/>
          <w:color w:val="000000" w:themeColor="text1"/>
          <w:lang w:eastAsia="en-IN" w:bidi="en-US"/>
        </w:rPr>
        <w:t>Reg. Address: 106, 1</w:t>
      </w:r>
      <w:r w:rsidRPr="00375726">
        <w:rPr>
          <w:rFonts w:eastAsia="Calibri"/>
          <w:bCs/>
          <w:color w:val="000000" w:themeColor="text1"/>
          <w:vertAlign w:val="superscript"/>
          <w:lang w:eastAsia="en-IN" w:bidi="en-US"/>
        </w:rPr>
        <w:t>st</w:t>
      </w:r>
      <w:r w:rsidRPr="00375726">
        <w:rPr>
          <w:rFonts w:eastAsia="Calibri"/>
          <w:bCs/>
          <w:color w:val="000000" w:themeColor="text1"/>
          <w:lang w:eastAsia="en-IN" w:bidi="en-US"/>
        </w:rPr>
        <w:t xml:space="preserve"> Floor, Kanakia Atrium 2,</w:t>
      </w:r>
    </w:p>
    <w:p w14:paraId="46AC06C9" w14:textId="77777777" w:rsidR="00375726" w:rsidRPr="00375726" w:rsidRDefault="00375726" w:rsidP="00375726">
      <w:pPr>
        <w:pStyle w:val="BodyText"/>
        <w:spacing w:line="276" w:lineRule="auto"/>
        <w:rPr>
          <w:rFonts w:eastAsia="Calibri"/>
          <w:bCs/>
          <w:color w:val="000000" w:themeColor="text1"/>
          <w:lang w:eastAsia="en-IN" w:bidi="en-US"/>
        </w:rPr>
      </w:pPr>
      <w:r w:rsidRPr="00375726">
        <w:rPr>
          <w:rFonts w:eastAsia="Calibri"/>
          <w:bCs/>
          <w:color w:val="000000" w:themeColor="text1"/>
          <w:lang w:eastAsia="en-IN" w:bidi="en-US"/>
        </w:rPr>
        <w:t>Cross Road A, Behind Courtyard Marriott,</w:t>
      </w:r>
    </w:p>
    <w:p w14:paraId="508D33AC" w14:textId="77777777" w:rsidR="00375726" w:rsidRPr="00375726" w:rsidRDefault="00375726" w:rsidP="00375726">
      <w:pPr>
        <w:pStyle w:val="BodyText"/>
        <w:spacing w:line="276" w:lineRule="auto"/>
        <w:rPr>
          <w:rFonts w:eastAsia="Calibri"/>
          <w:bCs/>
          <w:color w:val="000000" w:themeColor="text1"/>
          <w:lang w:eastAsia="en-IN" w:bidi="en-US"/>
        </w:rPr>
      </w:pPr>
      <w:r w:rsidRPr="00375726">
        <w:rPr>
          <w:rFonts w:eastAsia="Calibri"/>
          <w:bCs/>
          <w:color w:val="000000" w:themeColor="text1"/>
          <w:lang w:eastAsia="en-IN" w:bidi="en-US"/>
        </w:rPr>
        <w:t>Chakala, Andheri East, Mumbai - 400093</w:t>
      </w:r>
    </w:p>
    <w:p w14:paraId="3D8536E9" w14:textId="0C274746" w:rsidR="00375726" w:rsidRPr="00375726" w:rsidRDefault="00375726" w:rsidP="00375726">
      <w:pPr>
        <w:pStyle w:val="BodyText"/>
        <w:spacing w:line="276" w:lineRule="auto"/>
        <w:rPr>
          <w:rFonts w:eastAsia="Calibri"/>
          <w:bCs/>
          <w:color w:val="467886" w:themeColor="hyperlink"/>
          <w:u w:val="single"/>
          <w:lang w:eastAsia="en-IN" w:bidi="en-US"/>
        </w:rPr>
      </w:pPr>
      <w:r w:rsidRPr="00375726">
        <w:rPr>
          <w:rFonts w:eastAsia="Calibri"/>
          <w:bCs/>
          <w:color w:val="000000" w:themeColor="text1"/>
          <w:lang w:eastAsia="en-IN" w:bidi="en-US"/>
        </w:rPr>
        <w:t xml:space="preserve">Email: </w:t>
      </w:r>
      <w:hyperlink r:id="rId5" w:history="1">
        <w:r w:rsidRPr="00375726">
          <w:rPr>
            <w:rStyle w:val="Hyperlink"/>
            <w:rFonts w:eastAsia="Calibri"/>
            <w:bCs/>
            <w:lang w:eastAsia="en-IN" w:bidi="en-US"/>
          </w:rPr>
          <w:t>avil@caavil.com</w:t>
        </w:r>
      </w:hyperlink>
      <w:r w:rsidRPr="00375726">
        <w:rPr>
          <w:rFonts w:eastAsia="Calibri"/>
          <w:bCs/>
          <w:color w:val="000000" w:themeColor="text1"/>
          <w:lang w:eastAsia="en-IN" w:bidi="en-US"/>
        </w:rPr>
        <w:t xml:space="preserve">, </w:t>
      </w:r>
      <w:hyperlink r:id="rId6" w:history="1">
        <w:r w:rsidRPr="000C7E9C">
          <w:rPr>
            <w:rStyle w:val="Hyperlink"/>
            <w:rFonts w:eastAsia="Calibri"/>
            <w:bCs/>
            <w:lang w:eastAsia="en-IN" w:bidi="en-US"/>
          </w:rPr>
          <w:t>irp.future@gmail.com</w:t>
        </w:r>
      </w:hyperlink>
      <w:r w:rsidRPr="00375726">
        <w:rPr>
          <w:rFonts w:eastAsia="Calibri"/>
          <w:bCs/>
          <w:color w:val="000000" w:themeColor="text1"/>
          <w:lang w:eastAsia="en-IN" w:bidi="en-US"/>
        </w:rPr>
        <w:t xml:space="preserve"> </w:t>
      </w:r>
    </w:p>
    <w:p w14:paraId="3A987092" w14:textId="77777777" w:rsidR="00375726" w:rsidRPr="00375726" w:rsidRDefault="00375726" w:rsidP="00375726">
      <w:pPr>
        <w:spacing w:line="276" w:lineRule="auto"/>
        <w:jc w:val="both"/>
        <w:rPr>
          <w:rFonts w:ascii="Times New Roman" w:eastAsia="Times New Roman" w:hAnsi="Times New Roman" w:cs="Times New Roman"/>
          <w:color w:val="808080"/>
        </w:rPr>
      </w:pPr>
    </w:p>
    <w:p w14:paraId="3A692FAE" w14:textId="4D2A1960" w:rsidR="001464CD" w:rsidRDefault="00375726" w:rsidP="00375726">
      <w:pPr>
        <w:jc w:val="center"/>
        <w:rPr>
          <w:rFonts w:ascii="Times New Roman" w:hAnsi="Times New Roman" w:cs="Times New Roman"/>
          <w:b/>
          <w:bCs/>
          <w:u w:val="single"/>
        </w:rPr>
      </w:pPr>
      <w:r w:rsidRPr="00375726">
        <w:rPr>
          <w:rFonts w:ascii="Times New Roman" w:hAnsi="Times New Roman" w:cs="Times New Roman"/>
          <w:b/>
          <w:bCs/>
          <w:u w:val="single"/>
        </w:rPr>
        <w:t xml:space="preserve">UNDERTAKING </w:t>
      </w:r>
    </w:p>
    <w:p w14:paraId="527FF3BE" w14:textId="77777777" w:rsidR="00375726" w:rsidRDefault="00375726" w:rsidP="00375726">
      <w:pPr>
        <w:jc w:val="center"/>
        <w:rPr>
          <w:rFonts w:ascii="Times New Roman" w:hAnsi="Times New Roman" w:cs="Times New Roman"/>
          <w:b/>
          <w:bCs/>
          <w:u w:val="single"/>
        </w:rPr>
      </w:pPr>
    </w:p>
    <w:p w14:paraId="36C94F9C" w14:textId="2F2A5BB5" w:rsidR="00375726" w:rsidRPr="00375726" w:rsidRDefault="00375726" w:rsidP="00375726">
      <w:pPr>
        <w:pStyle w:val="ListParagraph"/>
        <w:numPr>
          <w:ilvl w:val="0"/>
          <w:numId w:val="1"/>
        </w:numPr>
        <w:jc w:val="both"/>
        <w:rPr>
          <w:rFonts w:ascii="Times New Roman" w:hAnsi="Times New Roman" w:cs="Times New Roman"/>
          <w:u w:val="single"/>
        </w:rPr>
      </w:pPr>
      <w:r>
        <w:rPr>
          <w:rFonts w:ascii="Times New Roman" w:hAnsi="Times New Roman" w:cs="Times New Roman"/>
        </w:rPr>
        <w:t>Pursuant to an application filed by Foresight Innovations Private Limited under Section 9 of the Insolvency and Bankruptcy Code, 2016 (“</w:t>
      </w:r>
      <w:r>
        <w:rPr>
          <w:rFonts w:ascii="Times New Roman" w:hAnsi="Times New Roman" w:cs="Times New Roman"/>
          <w:b/>
          <w:bCs/>
        </w:rPr>
        <w:t>IBC</w:t>
      </w:r>
      <w:r>
        <w:rPr>
          <w:rFonts w:ascii="Times New Roman" w:hAnsi="Times New Roman" w:cs="Times New Roman"/>
        </w:rPr>
        <w:t>”/ “</w:t>
      </w:r>
      <w:r>
        <w:rPr>
          <w:rFonts w:ascii="Times New Roman" w:hAnsi="Times New Roman" w:cs="Times New Roman"/>
          <w:b/>
          <w:bCs/>
        </w:rPr>
        <w:t>Code</w:t>
      </w:r>
      <w:r>
        <w:rPr>
          <w:rFonts w:ascii="Times New Roman" w:hAnsi="Times New Roman" w:cs="Times New Roman"/>
        </w:rPr>
        <w:t>”), the Hon’ble National Company Law Tribunal, Mumbai Bench (“</w:t>
      </w:r>
      <w:r>
        <w:rPr>
          <w:rFonts w:ascii="Times New Roman" w:hAnsi="Times New Roman" w:cs="Times New Roman"/>
          <w:b/>
          <w:bCs/>
        </w:rPr>
        <w:t>NCLT</w:t>
      </w:r>
      <w:r>
        <w:rPr>
          <w:rFonts w:ascii="Times New Roman" w:hAnsi="Times New Roman" w:cs="Times New Roman"/>
        </w:rPr>
        <w:t>”) admitted Future Enterprises Limited (“</w:t>
      </w:r>
      <w:r>
        <w:rPr>
          <w:rFonts w:ascii="Times New Roman" w:hAnsi="Times New Roman" w:cs="Times New Roman"/>
          <w:b/>
          <w:bCs/>
        </w:rPr>
        <w:t>FEL</w:t>
      </w:r>
      <w:r>
        <w:rPr>
          <w:rFonts w:ascii="Times New Roman" w:hAnsi="Times New Roman" w:cs="Times New Roman"/>
        </w:rPr>
        <w:t>”) into a corporate insolvency resolution process (“</w:t>
      </w:r>
      <w:r>
        <w:rPr>
          <w:rFonts w:ascii="Times New Roman" w:hAnsi="Times New Roman" w:cs="Times New Roman"/>
          <w:b/>
          <w:bCs/>
        </w:rPr>
        <w:t>CIRP</w:t>
      </w:r>
      <w:r>
        <w:rPr>
          <w:rFonts w:ascii="Times New Roman" w:hAnsi="Times New Roman" w:cs="Times New Roman"/>
        </w:rPr>
        <w:t>”) on 27 February 2023 (“</w:t>
      </w:r>
      <w:r>
        <w:rPr>
          <w:rFonts w:ascii="Times New Roman" w:hAnsi="Times New Roman" w:cs="Times New Roman"/>
          <w:b/>
          <w:bCs/>
        </w:rPr>
        <w:t>Admission Order</w:t>
      </w:r>
      <w:r>
        <w:rPr>
          <w:rFonts w:ascii="Times New Roman" w:hAnsi="Times New Roman" w:cs="Times New Roman"/>
        </w:rPr>
        <w:t xml:space="preserve">”). By way of the Admission Order, Mr. Jitender Kothari was appointed as the interim resolution professional (IRP) of FEL. </w:t>
      </w:r>
      <w:r w:rsidR="00147A14">
        <w:rPr>
          <w:rFonts w:ascii="Times New Roman" w:hAnsi="Times New Roman" w:cs="Times New Roman"/>
        </w:rPr>
        <w:t>I</w:t>
      </w:r>
      <w:r>
        <w:rPr>
          <w:rFonts w:ascii="Times New Roman" w:hAnsi="Times New Roman" w:cs="Times New Roman"/>
        </w:rPr>
        <w:t>n the third meeting of the committee of creditors</w:t>
      </w:r>
      <w:r w:rsidR="00DE5F1A">
        <w:rPr>
          <w:rFonts w:ascii="Times New Roman" w:hAnsi="Times New Roman" w:cs="Times New Roman"/>
        </w:rPr>
        <w:t xml:space="preserve"> (“</w:t>
      </w:r>
      <w:r w:rsidR="00DE5F1A">
        <w:rPr>
          <w:rFonts w:ascii="Times New Roman" w:hAnsi="Times New Roman" w:cs="Times New Roman"/>
          <w:b/>
          <w:bCs/>
        </w:rPr>
        <w:t>CoC</w:t>
      </w:r>
      <w:r w:rsidR="00DE5F1A">
        <w:rPr>
          <w:rFonts w:ascii="Times New Roman" w:hAnsi="Times New Roman" w:cs="Times New Roman"/>
        </w:rPr>
        <w:t>”)</w:t>
      </w:r>
      <w:r>
        <w:rPr>
          <w:rFonts w:ascii="Times New Roman" w:hAnsi="Times New Roman" w:cs="Times New Roman"/>
        </w:rPr>
        <w:t xml:space="preserve"> of FEL, Mr. Avil Menezes was appointed as the Resolution Professional (“</w:t>
      </w:r>
      <w:r>
        <w:rPr>
          <w:rFonts w:ascii="Times New Roman" w:hAnsi="Times New Roman" w:cs="Times New Roman"/>
          <w:b/>
          <w:bCs/>
        </w:rPr>
        <w:t>RP</w:t>
      </w:r>
      <w:r>
        <w:rPr>
          <w:rFonts w:ascii="Times New Roman" w:hAnsi="Times New Roman" w:cs="Times New Roman"/>
        </w:rPr>
        <w:t>”) of FEL. The appointment of Mr. Avil Menezes as the RP was taken on record by the Hon’ble NCLT by way of order dated 22 June 2023.</w:t>
      </w:r>
    </w:p>
    <w:p w14:paraId="34B81280" w14:textId="5465BC8C" w:rsidR="00375726" w:rsidRPr="00375726" w:rsidRDefault="00375726" w:rsidP="00375726">
      <w:pPr>
        <w:pStyle w:val="ListParagraph"/>
        <w:jc w:val="both"/>
        <w:rPr>
          <w:rFonts w:ascii="Times New Roman" w:hAnsi="Times New Roman" w:cs="Times New Roman"/>
          <w:u w:val="single"/>
        </w:rPr>
      </w:pPr>
    </w:p>
    <w:p w14:paraId="3CDD1380" w14:textId="2CE0B0C2" w:rsidR="00375726" w:rsidRPr="005A0050" w:rsidRDefault="002C17B1" w:rsidP="00375726">
      <w:pPr>
        <w:pStyle w:val="ListParagraph"/>
        <w:numPr>
          <w:ilvl w:val="0"/>
          <w:numId w:val="1"/>
        </w:numPr>
        <w:jc w:val="both"/>
        <w:rPr>
          <w:rFonts w:ascii="Times New Roman" w:hAnsi="Times New Roman" w:cs="Times New Roman"/>
          <w:u w:val="single"/>
        </w:rPr>
      </w:pPr>
      <w:r>
        <w:rPr>
          <w:rFonts w:ascii="Times New Roman" w:hAnsi="Times New Roman" w:cs="Times New Roman"/>
        </w:rPr>
        <w:t xml:space="preserve">Pursuant to approval by the </w:t>
      </w:r>
      <w:r w:rsidR="00DE5F1A">
        <w:rPr>
          <w:rFonts w:ascii="Times New Roman" w:hAnsi="Times New Roman" w:cs="Times New Roman"/>
        </w:rPr>
        <w:t xml:space="preserve">CoC </w:t>
      </w:r>
      <w:r>
        <w:rPr>
          <w:rFonts w:ascii="Times New Roman" w:hAnsi="Times New Roman" w:cs="Times New Roman"/>
        </w:rPr>
        <w:t xml:space="preserve">in </w:t>
      </w:r>
      <w:r w:rsidR="008641CF">
        <w:rPr>
          <w:rFonts w:ascii="Times New Roman" w:hAnsi="Times New Roman" w:cs="Times New Roman"/>
        </w:rPr>
        <w:t xml:space="preserve">their </w:t>
      </w:r>
      <w:r w:rsidR="00DE5F1A">
        <w:rPr>
          <w:rFonts w:ascii="Times New Roman" w:hAnsi="Times New Roman" w:cs="Times New Roman"/>
        </w:rPr>
        <w:t>15</w:t>
      </w:r>
      <w:r w:rsidR="00DE5F1A" w:rsidRPr="00DE5F1A">
        <w:rPr>
          <w:rFonts w:ascii="Times New Roman" w:hAnsi="Times New Roman" w:cs="Times New Roman"/>
          <w:vertAlign w:val="superscript"/>
        </w:rPr>
        <w:t>th</w:t>
      </w:r>
      <w:r w:rsidR="008641CF">
        <w:rPr>
          <w:rFonts w:ascii="Times New Roman" w:hAnsi="Times New Roman" w:cs="Times New Roman"/>
        </w:rPr>
        <w:t xml:space="preserve"> </w:t>
      </w:r>
      <w:r>
        <w:rPr>
          <w:rFonts w:ascii="Times New Roman" w:hAnsi="Times New Roman" w:cs="Times New Roman"/>
        </w:rPr>
        <w:t xml:space="preserve">meeting held on </w:t>
      </w:r>
      <w:r w:rsidR="00DE5F1A">
        <w:rPr>
          <w:rFonts w:ascii="Times New Roman" w:hAnsi="Times New Roman" w:cs="Times New Roman"/>
        </w:rPr>
        <w:t>25 January 2024</w:t>
      </w:r>
      <w:r>
        <w:rPr>
          <w:rFonts w:ascii="Times New Roman" w:hAnsi="Times New Roman" w:cs="Times New Roman"/>
        </w:rPr>
        <w:t>, t</w:t>
      </w:r>
      <w:r w:rsidR="00375726">
        <w:rPr>
          <w:rFonts w:ascii="Times New Roman" w:hAnsi="Times New Roman" w:cs="Times New Roman"/>
        </w:rPr>
        <w:t xml:space="preserve">he RP had </w:t>
      </w:r>
      <w:r>
        <w:rPr>
          <w:rFonts w:ascii="Times New Roman" w:hAnsi="Times New Roman" w:cs="Times New Roman"/>
        </w:rPr>
        <w:t xml:space="preserve">issued a process note dated </w:t>
      </w:r>
      <w:r w:rsidR="00DE5F1A">
        <w:rPr>
          <w:rFonts w:ascii="Times New Roman" w:hAnsi="Times New Roman" w:cs="Times New Roman"/>
        </w:rPr>
        <w:t>26 January 2024</w:t>
      </w:r>
      <w:r>
        <w:rPr>
          <w:rFonts w:ascii="Times New Roman" w:hAnsi="Times New Roman" w:cs="Times New Roman"/>
        </w:rPr>
        <w:t xml:space="preserve"> </w:t>
      </w:r>
      <w:r w:rsidR="00AD16AD">
        <w:rPr>
          <w:rFonts w:ascii="Times New Roman" w:hAnsi="Times New Roman" w:cs="Times New Roman"/>
        </w:rPr>
        <w:t>(“</w:t>
      </w:r>
      <w:r w:rsidR="00AD16AD" w:rsidRPr="00AD16AD">
        <w:rPr>
          <w:rFonts w:ascii="Times New Roman" w:hAnsi="Times New Roman" w:cs="Times New Roman"/>
          <w:b/>
          <w:bCs/>
        </w:rPr>
        <w:t>Process Note</w:t>
      </w:r>
      <w:r w:rsidR="00AD16AD">
        <w:rPr>
          <w:rFonts w:ascii="Times New Roman" w:hAnsi="Times New Roman" w:cs="Times New Roman"/>
        </w:rPr>
        <w:t xml:space="preserve">”) </w:t>
      </w:r>
      <w:r>
        <w:rPr>
          <w:rFonts w:ascii="Times New Roman" w:hAnsi="Times New Roman" w:cs="Times New Roman"/>
        </w:rPr>
        <w:t xml:space="preserve">and conducted </w:t>
      </w:r>
      <w:r w:rsidR="00375726">
        <w:rPr>
          <w:rFonts w:ascii="Times New Roman" w:hAnsi="Times New Roman" w:cs="Times New Roman"/>
        </w:rPr>
        <w:t>a process under Regulation 29 of the IBBI (Insolvency Resolution Process for Corporate Resolutions, 2016 (“</w:t>
      </w:r>
      <w:r w:rsidR="00375726">
        <w:rPr>
          <w:rFonts w:ascii="Times New Roman" w:hAnsi="Times New Roman" w:cs="Times New Roman"/>
          <w:b/>
          <w:bCs/>
        </w:rPr>
        <w:t>CIRP Regulations</w:t>
      </w:r>
      <w:r w:rsidR="00375726">
        <w:rPr>
          <w:rFonts w:ascii="Times New Roman" w:hAnsi="Times New Roman" w:cs="Times New Roman"/>
        </w:rPr>
        <w:t>”)</w:t>
      </w:r>
      <w:r w:rsidR="005A0050">
        <w:rPr>
          <w:rFonts w:ascii="Times New Roman" w:hAnsi="Times New Roman" w:cs="Times New Roman"/>
        </w:rPr>
        <w:t xml:space="preserve"> </w:t>
      </w:r>
      <w:r w:rsidR="00AD16AD">
        <w:rPr>
          <w:rFonts w:ascii="Times New Roman" w:hAnsi="Times New Roman" w:cs="Times New Roman"/>
        </w:rPr>
        <w:t xml:space="preserve">for inviting bids from interested parties </w:t>
      </w:r>
      <w:r w:rsidR="005A0050">
        <w:rPr>
          <w:rFonts w:ascii="Times New Roman" w:hAnsi="Times New Roman" w:cs="Times New Roman"/>
        </w:rPr>
        <w:t xml:space="preserve">for the sale Category 1 Assets of FEL comprising of – </w:t>
      </w:r>
    </w:p>
    <w:p w14:paraId="0C982C99" w14:textId="77777777" w:rsidR="005A0050" w:rsidRPr="005A0050" w:rsidRDefault="005A0050" w:rsidP="005A0050">
      <w:pPr>
        <w:pStyle w:val="ListParagraph"/>
        <w:rPr>
          <w:rFonts w:ascii="Times New Roman" w:hAnsi="Times New Roman" w:cs="Times New Roman"/>
          <w:u w:val="single"/>
        </w:rPr>
      </w:pPr>
    </w:p>
    <w:p w14:paraId="182475EF" w14:textId="5DA91AB3" w:rsidR="00393C52" w:rsidRDefault="00393C52" w:rsidP="00393C52">
      <w:pPr>
        <w:pStyle w:val="ListParagraph"/>
        <w:numPr>
          <w:ilvl w:val="0"/>
          <w:numId w:val="5"/>
        </w:numPr>
        <w:jc w:val="both"/>
        <w:rPr>
          <w:rFonts w:ascii="Times New Roman" w:hAnsi="Times New Roman" w:cs="Times New Roman"/>
        </w:rPr>
      </w:pPr>
      <w:r w:rsidRPr="00FC6BD1">
        <w:rPr>
          <w:rFonts w:ascii="Times New Roman" w:hAnsi="Times New Roman" w:cs="Times New Roman"/>
        </w:rPr>
        <w:t>0.51% equity stake of FEL in Future Generali India Insurance Company Limited (“</w:t>
      </w:r>
      <w:r w:rsidRPr="00261F83">
        <w:rPr>
          <w:rFonts w:ascii="Times New Roman" w:hAnsi="Times New Roman" w:cs="Times New Roman"/>
          <w:b/>
          <w:bCs/>
        </w:rPr>
        <w:t>FGIICL</w:t>
      </w:r>
      <w:r w:rsidRPr="00FC6BD1">
        <w:rPr>
          <w:rFonts w:ascii="Times New Roman" w:hAnsi="Times New Roman" w:cs="Times New Roman"/>
        </w:rPr>
        <w:t xml:space="preserve">”); </w:t>
      </w:r>
    </w:p>
    <w:p w14:paraId="49CD2359" w14:textId="77777777" w:rsidR="00393C52" w:rsidRDefault="00393C52" w:rsidP="00393C52">
      <w:pPr>
        <w:pStyle w:val="ListParagraph"/>
        <w:numPr>
          <w:ilvl w:val="0"/>
          <w:numId w:val="5"/>
        </w:numPr>
        <w:jc w:val="both"/>
        <w:rPr>
          <w:rFonts w:ascii="Times New Roman" w:hAnsi="Times New Roman" w:cs="Times New Roman"/>
        </w:rPr>
      </w:pPr>
      <w:r w:rsidRPr="00FC6BD1">
        <w:rPr>
          <w:rFonts w:ascii="Times New Roman" w:hAnsi="Times New Roman" w:cs="Times New Roman"/>
        </w:rPr>
        <w:t>25.18% equity stake of FEL Future Generali India Life Insurance Company Limited (“</w:t>
      </w:r>
      <w:r w:rsidRPr="00261F83">
        <w:rPr>
          <w:rFonts w:ascii="Times New Roman" w:hAnsi="Times New Roman" w:cs="Times New Roman"/>
          <w:b/>
          <w:bCs/>
        </w:rPr>
        <w:t>FGILICL</w:t>
      </w:r>
      <w:r w:rsidRPr="00FC6BD1">
        <w:rPr>
          <w:rFonts w:ascii="Times New Roman" w:hAnsi="Times New Roman" w:cs="Times New Roman"/>
        </w:rPr>
        <w:t xml:space="preserve">”); </w:t>
      </w:r>
    </w:p>
    <w:p w14:paraId="5DD1D8C9" w14:textId="77777777" w:rsidR="00393C52" w:rsidRDefault="00393C52" w:rsidP="00393C52">
      <w:pPr>
        <w:pStyle w:val="ListParagraph"/>
        <w:numPr>
          <w:ilvl w:val="0"/>
          <w:numId w:val="5"/>
        </w:numPr>
        <w:jc w:val="both"/>
        <w:rPr>
          <w:rFonts w:ascii="Times New Roman" w:hAnsi="Times New Roman" w:cs="Times New Roman"/>
        </w:rPr>
      </w:pPr>
      <w:r w:rsidRPr="00FC6BD1">
        <w:rPr>
          <w:rFonts w:ascii="Times New Roman" w:hAnsi="Times New Roman" w:cs="Times New Roman"/>
        </w:rPr>
        <w:t>49.81% equity stake of FEL in Sprint Advisory Services Private Limited (“</w:t>
      </w:r>
      <w:r w:rsidRPr="00261F83">
        <w:rPr>
          <w:rFonts w:ascii="Times New Roman" w:hAnsi="Times New Roman" w:cs="Times New Roman"/>
          <w:b/>
          <w:bCs/>
        </w:rPr>
        <w:t>Sprint</w:t>
      </w:r>
      <w:r w:rsidRPr="00FC6BD1">
        <w:rPr>
          <w:rFonts w:ascii="Times New Roman" w:hAnsi="Times New Roman" w:cs="Times New Roman"/>
        </w:rPr>
        <w:t xml:space="preserve">”), a special purpose vehicle (“SPV”) previously holding 44.88% of the issued and paid-up share capital of FGILICL; and </w:t>
      </w:r>
    </w:p>
    <w:p w14:paraId="56766D7C" w14:textId="77777777" w:rsidR="00393C52" w:rsidRDefault="00393C52" w:rsidP="00393C52">
      <w:pPr>
        <w:pStyle w:val="ListParagraph"/>
        <w:numPr>
          <w:ilvl w:val="0"/>
          <w:numId w:val="5"/>
        </w:numPr>
        <w:jc w:val="both"/>
        <w:rPr>
          <w:rFonts w:ascii="Times New Roman" w:hAnsi="Times New Roman" w:cs="Times New Roman"/>
        </w:rPr>
      </w:pPr>
      <w:r w:rsidRPr="00FC6BD1">
        <w:rPr>
          <w:rFonts w:ascii="Times New Roman" w:hAnsi="Times New Roman" w:cs="Times New Roman"/>
        </w:rPr>
        <w:t>49.82% equity stake of FEL in Shendra Advisory Services Private Limited (“</w:t>
      </w:r>
      <w:r w:rsidRPr="00261F83">
        <w:rPr>
          <w:rFonts w:ascii="Times New Roman" w:hAnsi="Times New Roman" w:cs="Times New Roman"/>
          <w:b/>
          <w:bCs/>
        </w:rPr>
        <w:t>Shendra</w:t>
      </w:r>
      <w:r w:rsidRPr="00FC6BD1">
        <w:rPr>
          <w:rFonts w:ascii="Times New Roman" w:hAnsi="Times New Roman" w:cs="Times New Roman"/>
        </w:rPr>
        <w:t>”), a SPV holding 48.99% of the issued and paid-up share capital of FGIICL</w:t>
      </w:r>
      <w:r>
        <w:rPr>
          <w:rFonts w:ascii="Times New Roman" w:hAnsi="Times New Roman" w:cs="Times New Roman"/>
        </w:rPr>
        <w:t>.</w:t>
      </w:r>
    </w:p>
    <w:p w14:paraId="4E15335F" w14:textId="18531F6B" w:rsidR="005A0050" w:rsidRDefault="005A0050" w:rsidP="00393C52">
      <w:pPr>
        <w:pStyle w:val="ListParagraph"/>
        <w:ind w:left="1080"/>
        <w:jc w:val="both"/>
        <w:rPr>
          <w:rFonts w:ascii="Times New Roman" w:hAnsi="Times New Roman" w:cs="Times New Roman"/>
        </w:rPr>
      </w:pPr>
    </w:p>
    <w:p w14:paraId="76C0B82E" w14:textId="23ECB98F" w:rsidR="005A0050" w:rsidRDefault="005A0050" w:rsidP="005A0050">
      <w:pPr>
        <w:pStyle w:val="ListParagraph"/>
        <w:numPr>
          <w:ilvl w:val="0"/>
          <w:numId w:val="1"/>
        </w:numPr>
        <w:jc w:val="both"/>
        <w:rPr>
          <w:rFonts w:ascii="Times New Roman" w:hAnsi="Times New Roman" w:cs="Times New Roman"/>
        </w:rPr>
      </w:pPr>
      <w:r>
        <w:rPr>
          <w:rFonts w:ascii="Times New Roman" w:hAnsi="Times New Roman" w:cs="Times New Roman"/>
        </w:rPr>
        <w:t xml:space="preserve">Thereafter, the </w:t>
      </w:r>
      <w:r w:rsidR="008641CF">
        <w:rPr>
          <w:rFonts w:ascii="Times New Roman" w:hAnsi="Times New Roman" w:cs="Times New Roman"/>
        </w:rPr>
        <w:t>CoC</w:t>
      </w:r>
      <w:r>
        <w:rPr>
          <w:rFonts w:ascii="Times New Roman" w:hAnsi="Times New Roman" w:cs="Times New Roman"/>
        </w:rPr>
        <w:t xml:space="preserve">, in </w:t>
      </w:r>
      <w:r w:rsidR="00147A14">
        <w:rPr>
          <w:rFonts w:ascii="Times New Roman" w:hAnsi="Times New Roman" w:cs="Times New Roman"/>
        </w:rPr>
        <w:t xml:space="preserve">its </w:t>
      </w:r>
      <w:r>
        <w:rPr>
          <w:rFonts w:ascii="Times New Roman" w:hAnsi="Times New Roman" w:cs="Times New Roman"/>
        </w:rPr>
        <w:t>24</w:t>
      </w:r>
      <w:r w:rsidRPr="005A0050">
        <w:rPr>
          <w:rFonts w:ascii="Times New Roman" w:hAnsi="Times New Roman" w:cs="Times New Roman"/>
          <w:vertAlign w:val="superscript"/>
        </w:rPr>
        <w:t>th</w:t>
      </w:r>
      <w:r>
        <w:rPr>
          <w:rFonts w:ascii="Times New Roman" w:hAnsi="Times New Roman" w:cs="Times New Roman"/>
        </w:rPr>
        <w:t xml:space="preserve"> CoC meeting (voting concluded on </w:t>
      </w:r>
      <w:r w:rsidRPr="00F22793">
        <w:rPr>
          <w:rFonts w:ascii="Times New Roman" w:hAnsi="Times New Roman" w:cs="Times New Roman"/>
        </w:rPr>
        <w:t>20 August 2024</w:t>
      </w:r>
      <w:r w:rsidR="00147A14">
        <w:rPr>
          <w:rFonts w:ascii="Times New Roman" w:hAnsi="Times New Roman" w:cs="Times New Roman"/>
        </w:rPr>
        <w:t>)</w:t>
      </w:r>
      <w:r>
        <w:rPr>
          <w:rFonts w:ascii="Times New Roman" w:hAnsi="Times New Roman" w:cs="Times New Roman"/>
        </w:rPr>
        <w:t xml:space="preserve"> </w:t>
      </w:r>
      <w:r w:rsidR="00641C5B">
        <w:rPr>
          <w:rFonts w:ascii="Times New Roman" w:hAnsi="Times New Roman" w:cs="Times New Roman"/>
        </w:rPr>
        <w:t xml:space="preserve">accepted </w:t>
      </w:r>
      <w:r>
        <w:rPr>
          <w:rFonts w:ascii="Times New Roman" w:hAnsi="Times New Roman" w:cs="Times New Roman"/>
        </w:rPr>
        <w:t xml:space="preserve">the </w:t>
      </w:r>
      <w:r w:rsidR="00AD16AD">
        <w:rPr>
          <w:rFonts w:ascii="Times New Roman" w:hAnsi="Times New Roman" w:cs="Times New Roman"/>
        </w:rPr>
        <w:lastRenderedPageBreak/>
        <w:t>bid submitted by Central Bank of India (“</w:t>
      </w:r>
      <w:r w:rsidR="00AD16AD">
        <w:rPr>
          <w:rFonts w:ascii="Times New Roman" w:hAnsi="Times New Roman" w:cs="Times New Roman"/>
          <w:b/>
          <w:bCs/>
        </w:rPr>
        <w:t>CBoI</w:t>
      </w:r>
      <w:r w:rsidR="00AD16AD">
        <w:rPr>
          <w:rFonts w:ascii="Times New Roman" w:hAnsi="Times New Roman" w:cs="Times New Roman"/>
        </w:rPr>
        <w:t xml:space="preserve">”) </w:t>
      </w:r>
      <w:r w:rsidR="00147A14">
        <w:rPr>
          <w:rFonts w:ascii="Times New Roman" w:hAnsi="Times New Roman" w:cs="Times New Roman"/>
        </w:rPr>
        <w:t xml:space="preserve">and </w:t>
      </w:r>
      <w:r w:rsidR="00641C5B">
        <w:rPr>
          <w:rFonts w:ascii="Times New Roman" w:hAnsi="Times New Roman" w:cs="Times New Roman"/>
        </w:rPr>
        <w:t xml:space="preserve">approved the </w:t>
      </w:r>
      <w:r>
        <w:rPr>
          <w:rFonts w:ascii="Times New Roman" w:hAnsi="Times New Roman" w:cs="Times New Roman"/>
        </w:rPr>
        <w:t xml:space="preserve">sale of Category 1 Assets </w:t>
      </w:r>
      <w:r w:rsidR="00D47A5C">
        <w:rPr>
          <w:rFonts w:ascii="Times New Roman" w:hAnsi="Times New Roman" w:cs="Times New Roman"/>
        </w:rPr>
        <w:t xml:space="preserve">in favour of </w:t>
      </w:r>
      <w:r>
        <w:rPr>
          <w:rFonts w:ascii="Times New Roman" w:hAnsi="Times New Roman" w:cs="Times New Roman"/>
        </w:rPr>
        <w:t>Central Bank of India (“</w:t>
      </w:r>
      <w:r>
        <w:rPr>
          <w:rFonts w:ascii="Times New Roman" w:hAnsi="Times New Roman" w:cs="Times New Roman"/>
          <w:b/>
          <w:bCs/>
        </w:rPr>
        <w:t>CBoI</w:t>
      </w:r>
      <w:r>
        <w:rPr>
          <w:rFonts w:ascii="Times New Roman" w:hAnsi="Times New Roman" w:cs="Times New Roman"/>
        </w:rPr>
        <w:t>”)</w:t>
      </w:r>
      <w:r w:rsidR="002D47F1">
        <w:rPr>
          <w:rFonts w:ascii="Times New Roman" w:hAnsi="Times New Roman" w:cs="Times New Roman"/>
        </w:rPr>
        <w:t xml:space="preserve"> </w:t>
      </w:r>
      <w:r w:rsidR="00D47A5C">
        <w:rPr>
          <w:rFonts w:ascii="Times New Roman" w:hAnsi="Times New Roman" w:cs="Times New Roman"/>
        </w:rPr>
        <w:t>for a consideration of INR 508 Crores (</w:t>
      </w:r>
      <w:r w:rsidR="00AD16AD">
        <w:rPr>
          <w:rFonts w:ascii="Times New Roman" w:hAnsi="Times New Roman" w:cs="Times New Roman"/>
        </w:rPr>
        <w:t>“</w:t>
      </w:r>
      <w:r w:rsidR="00D47A5C" w:rsidRPr="00AD16AD">
        <w:rPr>
          <w:rFonts w:ascii="Times New Roman" w:hAnsi="Times New Roman" w:cs="Times New Roman"/>
          <w:b/>
          <w:bCs/>
        </w:rPr>
        <w:t xml:space="preserve">Sale </w:t>
      </w:r>
      <w:r w:rsidR="00AD16AD" w:rsidRPr="00AD16AD">
        <w:rPr>
          <w:rFonts w:ascii="Times New Roman" w:hAnsi="Times New Roman" w:cs="Times New Roman"/>
          <w:b/>
          <w:bCs/>
        </w:rPr>
        <w:t>Proceeds</w:t>
      </w:r>
      <w:r w:rsidR="00AD16AD">
        <w:rPr>
          <w:rFonts w:ascii="Times New Roman" w:hAnsi="Times New Roman" w:cs="Times New Roman"/>
        </w:rPr>
        <w:t>”)</w:t>
      </w:r>
      <w:r w:rsidR="00641C5B">
        <w:rPr>
          <w:rFonts w:ascii="Times New Roman" w:hAnsi="Times New Roman" w:cs="Times New Roman"/>
        </w:rPr>
        <w:t xml:space="preserve"> in accordance with the terms and conditions set out in the Process Note</w:t>
      </w:r>
      <w:r w:rsidR="00DE5F1A">
        <w:rPr>
          <w:rFonts w:ascii="Times New Roman" w:hAnsi="Times New Roman" w:cs="Times New Roman"/>
        </w:rPr>
        <w:t>,</w:t>
      </w:r>
      <w:r w:rsidR="003A6828">
        <w:rPr>
          <w:rFonts w:ascii="Times New Roman" w:hAnsi="Times New Roman" w:cs="Times New Roman"/>
        </w:rPr>
        <w:t xml:space="preserve"> along with the manner of distribution of the Sale Proceeds and</w:t>
      </w:r>
      <w:r w:rsidR="00DE5F1A">
        <w:rPr>
          <w:rFonts w:ascii="Times New Roman" w:hAnsi="Times New Roman" w:cs="Times New Roman"/>
        </w:rPr>
        <w:t xml:space="preserve"> </w:t>
      </w:r>
      <w:r w:rsidR="002D47F1">
        <w:rPr>
          <w:rFonts w:ascii="Times New Roman" w:hAnsi="Times New Roman" w:cs="Times New Roman"/>
        </w:rPr>
        <w:t xml:space="preserve">the </w:t>
      </w:r>
      <w:r w:rsidR="00AD16AD">
        <w:rPr>
          <w:rFonts w:ascii="Times New Roman" w:hAnsi="Times New Roman" w:cs="Times New Roman"/>
        </w:rPr>
        <w:t xml:space="preserve">interim </w:t>
      </w:r>
      <w:r w:rsidR="002D47F1">
        <w:rPr>
          <w:rFonts w:ascii="Times New Roman" w:hAnsi="Times New Roman" w:cs="Times New Roman"/>
        </w:rPr>
        <w:t xml:space="preserve">distribution of </w:t>
      </w:r>
      <w:r w:rsidR="00AD16AD">
        <w:rPr>
          <w:rFonts w:ascii="Times New Roman" w:hAnsi="Times New Roman" w:cs="Times New Roman"/>
        </w:rPr>
        <w:t>Sale P</w:t>
      </w:r>
      <w:r w:rsidR="002D47F1">
        <w:rPr>
          <w:rFonts w:ascii="Times New Roman" w:hAnsi="Times New Roman" w:cs="Times New Roman"/>
        </w:rPr>
        <w:t xml:space="preserve">roceeds </w:t>
      </w:r>
      <w:r w:rsidR="00AD16AD">
        <w:rPr>
          <w:rFonts w:ascii="Times New Roman" w:hAnsi="Times New Roman" w:cs="Times New Roman"/>
        </w:rPr>
        <w:t>(</w:t>
      </w:r>
      <w:r w:rsidR="002D47F1">
        <w:rPr>
          <w:rFonts w:ascii="Times New Roman" w:hAnsi="Times New Roman" w:cs="Times New Roman"/>
        </w:rPr>
        <w:t>to the extent distributable</w:t>
      </w:r>
      <w:r w:rsidR="00AD16AD">
        <w:rPr>
          <w:rFonts w:ascii="Times New Roman" w:hAnsi="Times New Roman" w:cs="Times New Roman"/>
        </w:rPr>
        <w:t>)</w:t>
      </w:r>
      <w:r w:rsidR="002D47F1">
        <w:rPr>
          <w:rFonts w:ascii="Times New Roman" w:hAnsi="Times New Roman" w:cs="Times New Roman"/>
        </w:rPr>
        <w:t xml:space="preserve"> amongst the financial creditors</w:t>
      </w:r>
      <w:r w:rsidR="00AD16AD">
        <w:rPr>
          <w:rFonts w:ascii="Times New Roman" w:hAnsi="Times New Roman" w:cs="Times New Roman"/>
        </w:rPr>
        <w:t xml:space="preserve"> of FEL</w:t>
      </w:r>
      <w:r w:rsidR="003A6828">
        <w:rPr>
          <w:rFonts w:ascii="Times New Roman" w:hAnsi="Times New Roman" w:cs="Times New Roman"/>
        </w:rPr>
        <w:t>.</w:t>
      </w:r>
      <w:r w:rsidR="002D47F1">
        <w:rPr>
          <w:rFonts w:ascii="Times New Roman" w:hAnsi="Times New Roman" w:cs="Times New Roman"/>
        </w:rPr>
        <w:t xml:space="preserve"> </w:t>
      </w:r>
      <w:r w:rsidR="003A6828">
        <w:rPr>
          <w:rFonts w:ascii="Times New Roman" w:hAnsi="Times New Roman" w:cs="Times New Roman"/>
        </w:rPr>
        <w:t xml:space="preserve">The CoC also </w:t>
      </w:r>
      <w:r w:rsidR="002D47F1">
        <w:rPr>
          <w:rFonts w:ascii="Times New Roman" w:hAnsi="Times New Roman" w:cs="Times New Roman"/>
        </w:rPr>
        <w:t xml:space="preserve">authorized the RP to file an application before the Hon’ble NCLT </w:t>
      </w:r>
      <w:r w:rsidR="00AD16AD">
        <w:rPr>
          <w:rFonts w:ascii="Times New Roman" w:hAnsi="Times New Roman" w:cs="Times New Roman"/>
        </w:rPr>
        <w:t xml:space="preserve">to seek necessary directions </w:t>
      </w:r>
      <w:r w:rsidR="002D47F1">
        <w:rPr>
          <w:rFonts w:ascii="Times New Roman" w:hAnsi="Times New Roman" w:cs="Times New Roman"/>
        </w:rPr>
        <w:t xml:space="preserve">for </w:t>
      </w:r>
      <w:r w:rsidR="00AD16AD">
        <w:rPr>
          <w:rFonts w:ascii="Times New Roman" w:hAnsi="Times New Roman" w:cs="Times New Roman"/>
        </w:rPr>
        <w:t xml:space="preserve">interim </w:t>
      </w:r>
      <w:r w:rsidR="002D47F1">
        <w:rPr>
          <w:rFonts w:ascii="Times New Roman" w:hAnsi="Times New Roman" w:cs="Times New Roman"/>
        </w:rPr>
        <w:t xml:space="preserve">distribution of </w:t>
      </w:r>
      <w:r w:rsidR="00AD16AD">
        <w:rPr>
          <w:rFonts w:ascii="Times New Roman" w:hAnsi="Times New Roman" w:cs="Times New Roman"/>
        </w:rPr>
        <w:t>the Sale Proceeds</w:t>
      </w:r>
      <w:r w:rsidR="002D47F1">
        <w:rPr>
          <w:rFonts w:ascii="Times New Roman" w:hAnsi="Times New Roman" w:cs="Times New Roman"/>
        </w:rPr>
        <w:t>.</w:t>
      </w:r>
      <w:r w:rsidR="006A3C6F">
        <w:rPr>
          <w:rFonts w:ascii="Times New Roman" w:hAnsi="Times New Roman" w:cs="Times New Roman"/>
        </w:rPr>
        <w:t xml:space="preserve"> </w:t>
      </w:r>
    </w:p>
    <w:p w14:paraId="77BF99E3" w14:textId="39DB5289" w:rsidR="002D47F1" w:rsidRDefault="002D47F1" w:rsidP="002D47F1">
      <w:pPr>
        <w:pStyle w:val="ListParagraph"/>
        <w:jc w:val="both"/>
        <w:rPr>
          <w:rFonts w:ascii="Times New Roman" w:hAnsi="Times New Roman" w:cs="Times New Roman"/>
        </w:rPr>
      </w:pPr>
    </w:p>
    <w:p w14:paraId="602757B0" w14:textId="53BF98F6" w:rsidR="002D47F1" w:rsidRDefault="00AD16AD" w:rsidP="005A0050">
      <w:pPr>
        <w:pStyle w:val="ListParagraph"/>
        <w:numPr>
          <w:ilvl w:val="0"/>
          <w:numId w:val="1"/>
        </w:numPr>
        <w:jc w:val="both"/>
        <w:rPr>
          <w:rFonts w:ascii="Times New Roman" w:hAnsi="Times New Roman" w:cs="Times New Roman"/>
        </w:rPr>
      </w:pPr>
      <w:r>
        <w:rPr>
          <w:rFonts w:ascii="Times New Roman" w:hAnsi="Times New Roman" w:cs="Times New Roman"/>
        </w:rPr>
        <w:t xml:space="preserve">Subsequent to </w:t>
      </w:r>
      <w:r w:rsidR="006A3C6F">
        <w:rPr>
          <w:rFonts w:ascii="Times New Roman" w:hAnsi="Times New Roman" w:cs="Times New Roman"/>
        </w:rPr>
        <w:t>the approval of the sale of Category 1 Assets by the CoC</w:t>
      </w:r>
      <w:r w:rsidR="00641C5B">
        <w:rPr>
          <w:rFonts w:ascii="Times New Roman" w:hAnsi="Times New Roman" w:cs="Times New Roman"/>
        </w:rPr>
        <w:t xml:space="preserve"> in favour of CBoI</w:t>
      </w:r>
      <w:r w:rsidR="006A3C6F">
        <w:rPr>
          <w:rFonts w:ascii="Times New Roman" w:hAnsi="Times New Roman" w:cs="Times New Roman"/>
        </w:rPr>
        <w:t xml:space="preserve">, </w:t>
      </w:r>
      <w:r w:rsidR="00641C5B">
        <w:rPr>
          <w:rFonts w:ascii="Times New Roman" w:hAnsi="Times New Roman" w:cs="Times New Roman"/>
        </w:rPr>
        <w:t xml:space="preserve">the Letter of Intent </w:t>
      </w:r>
      <w:r w:rsidR="00641C5B" w:rsidRPr="00E50A2E">
        <w:rPr>
          <w:rFonts w:ascii="Times New Roman" w:hAnsi="Times New Roman" w:cs="Times New Roman"/>
        </w:rPr>
        <w:t xml:space="preserve">dated </w:t>
      </w:r>
      <w:r w:rsidR="003A6828" w:rsidRPr="00E50A2E">
        <w:rPr>
          <w:rFonts w:ascii="Times New Roman" w:hAnsi="Times New Roman" w:cs="Times New Roman"/>
        </w:rPr>
        <w:t xml:space="preserve">20 August 2024 </w:t>
      </w:r>
      <w:r w:rsidR="00641C5B" w:rsidRPr="00E50A2E">
        <w:rPr>
          <w:rFonts w:ascii="Times New Roman" w:hAnsi="Times New Roman" w:cs="Times New Roman"/>
        </w:rPr>
        <w:t>(“</w:t>
      </w:r>
      <w:r w:rsidR="00641C5B" w:rsidRPr="00E50A2E">
        <w:rPr>
          <w:rFonts w:ascii="Times New Roman" w:hAnsi="Times New Roman" w:cs="Times New Roman"/>
          <w:b/>
          <w:bCs/>
        </w:rPr>
        <w:t>LOI</w:t>
      </w:r>
      <w:r w:rsidR="00641C5B" w:rsidRPr="00E50A2E">
        <w:rPr>
          <w:rFonts w:ascii="Times New Roman" w:hAnsi="Times New Roman" w:cs="Times New Roman"/>
        </w:rPr>
        <w:t xml:space="preserve">”) was issued by the RP to CBoI which was accepted by CBoI on </w:t>
      </w:r>
      <w:r w:rsidR="003A6828" w:rsidRPr="00E50A2E">
        <w:rPr>
          <w:rFonts w:ascii="Times New Roman" w:hAnsi="Times New Roman" w:cs="Times New Roman"/>
        </w:rPr>
        <w:t xml:space="preserve">21 August 2024. </w:t>
      </w:r>
      <w:r w:rsidR="00641C5B" w:rsidRPr="00E50A2E">
        <w:rPr>
          <w:rFonts w:ascii="Times New Roman" w:hAnsi="Times New Roman" w:cs="Times New Roman"/>
        </w:rPr>
        <w:t xml:space="preserve">Further pursuant to the terms of the Process Note read with the LOI, </w:t>
      </w:r>
      <w:r w:rsidR="006A3C6F" w:rsidRPr="00E50A2E">
        <w:rPr>
          <w:rFonts w:ascii="Times New Roman" w:hAnsi="Times New Roman" w:cs="Times New Roman"/>
        </w:rPr>
        <w:t xml:space="preserve">CBoI has paid INR 508 Crore </w:t>
      </w:r>
      <w:r w:rsidR="00641C5B" w:rsidRPr="00E50A2E">
        <w:rPr>
          <w:rFonts w:ascii="Times New Roman" w:hAnsi="Times New Roman" w:cs="Times New Roman"/>
        </w:rPr>
        <w:t>i</w:t>
      </w:r>
      <w:r w:rsidR="00641C5B">
        <w:rPr>
          <w:rFonts w:ascii="Times New Roman" w:hAnsi="Times New Roman" w:cs="Times New Roman"/>
        </w:rPr>
        <w:t xml:space="preserve">.e., the Sale Proceeds </w:t>
      </w:r>
      <w:r w:rsidR="006A3C6F">
        <w:rPr>
          <w:rFonts w:ascii="Times New Roman" w:hAnsi="Times New Roman" w:cs="Times New Roman"/>
        </w:rPr>
        <w:t>to the account of FEL.</w:t>
      </w:r>
    </w:p>
    <w:p w14:paraId="460B753B" w14:textId="77777777" w:rsidR="006A3C6F" w:rsidRPr="006A3C6F" w:rsidRDefault="006A3C6F" w:rsidP="006A3C6F">
      <w:pPr>
        <w:pStyle w:val="ListParagraph"/>
        <w:rPr>
          <w:rFonts w:ascii="Times New Roman" w:hAnsi="Times New Roman" w:cs="Times New Roman"/>
        </w:rPr>
      </w:pPr>
    </w:p>
    <w:p w14:paraId="49950D1D" w14:textId="1B13486F" w:rsidR="00D31AAC" w:rsidRDefault="006A3C6F" w:rsidP="00F812FA">
      <w:pPr>
        <w:pStyle w:val="ListParagraph"/>
        <w:numPr>
          <w:ilvl w:val="0"/>
          <w:numId w:val="1"/>
        </w:numPr>
        <w:jc w:val="both"/>
        <w:rPr>
          <w:rFonts w:ascii="Times New Roman" w:hAnsi="Times New Roman" w:cs="Times New Roman"/>
        </w:rPr>
      </w:pPr>
      <w:r w:rsidRPr="00770BA1">
        <w:rPr>
          <w:rFonts w:ascii="Times New Roman" w:hAnsi="Times New Roman" w:cs="Times New Roman"/>
        </w:rPr>
        <w:t xml:space="preserve">On 14 November 2024, the RP filed an interlocutory application bearing I.A. 5888 of 2024 </w:t>
      </w:r>
      <w:r w:rsidR="00714C19" w:rsidRPr="00770BA1">
        <w:rPr>
          <w:rFonts w:ascii="Times New Roman" w:hAnsi="Times New Roman" w:cs="Times New Roman"/>
        </w:rPr>
        <w:t>(“</w:t>
      </w:r>
      <w:r w:rsidR="00714C19" w:rsidRPr="00770BA1">
        <w:rPr>
          <w:rFonts w:ascii="Times New Roman" w:hAnsi="Times New Roman" w:cs="Times New Roman"/>
          <w:b/>
          <w:bCs/>
        </w:rPr>
        <w:t>IA 5888</w:t>
      </w:r>
      <w:r w:rsidR="00714C19" w:rsidRPr="00770BA1">
        <w:rPr>
          <w:rFonts w:ascii="Times New Roman" w:hAnsi="Times New Roman" w:cs="Times New Roman"/>
        </w:rPr>
        <w:t xml:space="preserve">”) </w:t>
      </w:r>
      <w:r w:rsidRPr="00770BA1">
        <w:rPr>
          <w:rFonts w:ascii="Times New Roman" w:hAnsi="Times New Roman" w:cs="Times New Roman"/>
        </w:rPr>
        <w:t xml:space="preserve">before the Hon’ble NCLT seeking </w:t>
      </w:r>
      <w:r w:rsidR="00641C5B" w:rsidRPr="00770BA1">
        <w:rPr>
          <w:rFonts w:ascii="Times New Roman" w:hAnsi="Times New Roman" w:cs="Times New Roman"/>
        </w:rPr>
        <w:t xml:space="preserve">directions for </w:t>
      </w:r>
      <w:r w:rsidRPr="00770BA1">
        <w:rPr>
          <w:rFonts w:ascii="Times New Roman" w:hAnsi="Times New Roman" w:cs="Times New Roman"/>
        </w:rPr>
        <w:t xml:space="preserve">interim distribution of the </w:t>
      </w:r>
      <w:r w:rsidR="00641C5B" w:rsidRPr="00770BA1">
        <w:rPr>
          <w:rFonts w:ascii="Times New Roman" w:hAnsi="Times New Roman" w:cs="Times New Roman"/>
        </w:rPr>
        <w:t>Sale P</w:t>
      </w:r>
      <w:r w:rsidRPr="00770BA1">
        <w:rPr>
          <w:rFonts w:ascii="Times New Roman" w:hAnsi="Times New Roman" w:cs="Times New Roman"/>
        </w:rPr>
        <w:t>roceeds.</w:t>
      </w:r>
      <w:r w:rsidR="00641C5B" w:rsidRPr="00770BA1">
        <w:rPr>
          <w:rFonts w:ascii="Times New Roman" w:hAnsi="Times New Roman" w:cs="Times New Roman"/>
        </w:rPr>
        <w:t xml:space="preserve"> </w:t>
      </w:r>
      <w:r w:rsidR="00714C19" w:rsidRPr="00770BA1">
        <w:rPr>
          <w:rFonts w:ascii="Times New Roman" w:hAnsi="Times New Roman" w:cs="Times New Roman"/>
        </w:rPr>
        <w:t xml:space="preserve">By way of its order dated </w:t>
      </w:r>
      <w:r w:rsidR="0062191E" w:rsidRPr="00770BA1">
        <w:rPr>
          <w:rFonts w:ascii="Times New Roman" w:hAnsi="Times New Roman" w:cs="Times New Roman"/>
        </w:rPr>
        <w:t>2 May 2025</w:t>
      </w:r>
      <w:r w:rsidR="00EE06D3" w:rsidRPr="00770BA1">
        <w:rPr>
          <w:rFonts w:ascii="Times New Roman" w:hAnsi="Times New Roman" w:cs="Times New Roman"/>
        </w:rPr>
        <w:t xml:space="preserve"> (“</w:t>
      </w:r>
      <w:r w:rsidR="00EE06D3" w:rsidRPr="00770BA1">
        <w:rPr>
          <w:rFonts w:ascii="Times New Roman" w:hAnsi="Times New Roman" w:cs="Times New Roman"/>
          <w:b/>
          <w:bCs/>
        </w:rPr>
        <w:t>Interim Distribution Order</w:t>
      </w:r>
      <w:r w:rsidR="00EE06D3" w:rsidRPr="00770BA1">
        <w:rPr>
          <w:rFonts w:ascii="Times New Roman" w:hAnsi="Times New Roman" w:cs="Times New Roman"/>
        </w:rPr>
        <w:t>”)</w:t>
      </w:r>
      <w:r w:rsidR="00714C19" w:rsidRPr="00770BA1">
        <w:rPr>
          <w:rFonts w:ascii="Times New Roman" w:hAnsi="Times New Roman" w:cs="Times New Roman"/>
        </w:rPr>
        <w:t xml:space="preserve">, Hon’ble NCLT </w:t>
      </w:r>
      <w:r w:rsidR="00B80747" w:rsidRPr="00770BA1">
        <w:rPr>
          <w:rFonts w:ascii="Times New Roman" w:hAnsi="Times New Roman" w:cs="Times New Roman"/>
        </w:rPr>
        <w:t xml:space="preserve">disposed of </w:t>
      </w:r>
      <w:r w:rsidR="00714C19" w:rsidRPr="00770BA1">
        <w:rPr>
          <w:rFonts w:ascii="Times New Roman" w:hAnsi="Times New Roman" w:cs="Times New Roman"/>
        </w:rPr>
        <w:t xml:space="preserve">IA 5888 </w:t>
      </w:r>
      <w:r w:rsidR="00E62B9E" w:rsidRPr="00F812FA">
        <w:rPr>
          <w:rFonts w:ascii="Times New Roman" w:hAnsi="Times New Roman" w:cs="Times New Roman"/>
          <w:i/>
          <w:iCs/>
        </w:rPr>
        <w:t>inter alia</w:t>
      </w:r>
      <w:r w:rsidR="00E62B9E" w:rsidRPr="00770BA1">
        <w:rPr>
          <w:rFonts w:ascii="Times New Roman" w:hAnsi="Times New Roman" w:cs="Times New Roman"/>
        </w:rPr>
        <w:t xml:space="preserve"> noting that</w:t>
      </w:r>
      <w:r w:rsidR="00B9059D" w:rsidRPr="00770BA1">
        <w:rPr>
          <w:rFonts w:ascii="Times New Roman" w:hAnsi="Times New Roman" w:cs="Times New Roman"/>
        </w:rPr>
        <w:t xml:space="preserve"> the </w:t>
      </w:r>
      <w:r w:rsidR="00A32402" w:rsidRPr="00F812FA">
        <w:rPr>
          <w:rFonts w:ascii="Times New Roman" w:hAnsi="Times New Roman" w:cs="Times New Roman"/>
        </w:rPr>
        <w:t>sale satisfies the mandate under Regulation 29 of the CIRP Regulations (</w:t>
      </w:r>
      <w:r w:rsidR="006B4AEC" w:rsidRPr="00F812FA">
        <w:rPr>
          <w:rFonts w:ascii="Times New Roman" w:hAnsi="Times New Roman" w:cs="Times New Roman"/>
        </w:rPr>
        <w:t xml:space="preserve">Para </w:t>
      </w:r>
      <w:r w:rsidR="00A32402" w:rsidRPr="00F812FA">
        <w:rPr>
          <w:rFonts w:ascii="Times New Roman" w:hAnsi="Times New Roman" w:cs="Times New Roman"/>
        </w:rPr>
        <w:t>2</w:t>
      </w:r>
      <w:r w:rsidR="003875EA" w:rsidRPr="00F812FA">
        <w:rPr>
          <w:rFonts w:ascii="Times New Roman" w:hAnsi="Times New Roman" w:cs="Times New Roman"/>
        </w:rPr>
        <w:t>2</w:t>
      </w:r>
      <w:r w:rsidR="00A32402" w:rsidRPr="00F812FA">
        <w:rPr>
          <w:rFonts w:ascii="Times New Roman" w:hAnsi="Times New Roman" w:cs="Times New Roman"/>
        </w:rPr>
        <w:t>)</w:t>
      </w:r>
      <w:r w:rsidR="00B9059D" w:rsidRPr="00770BA1">
        <w:rPr>
          <w:rFonts w:ascii="Times New Roman" w:hAnsi="Times New Roman" w:cs="Times New Roman"/>
        </w:rPr>
        <w:t xml:space="preserve"> and that </w:t>
      </w:r>
      <w:r w:rsidR="00394A52" w:rsidRPr="00F812FA">
        <w:rPr>
          <w:rFonts w:ascii="Times New Roman" w:hAnsi="Times New Roman" w:cs="Times New Roman"/>
        </w:rPr>
        <w:t>the issue relating to inter se distribution of proceeds amongst</w:t>
      </w:r>
      <w:r w:rsidR="007D5132" w:rsidRPr="00F812FA">
        <w:rPr>
          <w:rFonts w:ascii="Times New Roman" w:hAnsi="Times New Roman" w:cs="Times New Roman"/>
        </w:rPr>
        <w:t xml:space="preserve"> </w:t>
      </w:r>
      <w:r w:rsidR="00394A52" w:rsidRPr="00F812FA">
        <w:rPr>
          <w:rFonts w:ascii="Times New Roman" w:hAnsi="Times New Roman" w:cs="Times New Roman"/>
        </w:rPr>
        <w:t>the members of CoC comes within the realm of the commercial wisdom of</w:t>
      </w:r>
      <w:r w:rsidR="007D5132" w:rsidRPr="00F812FA">
        <w:rPr>
          <w:rFonts w:ascii="Times New Roman" w:hAnsi="Times New Roman" w:cs="Times New Roman"/>
        </w:rPr>
        <w:t xml:space="preserve"> </w:t>
      </w:r>
      <w:r w:rsidR="00394A52" w:rsidRPr="00F812FA">
        <w:rPr>
          <w:rFonts w:ascii="Times New Roman" w:hAnsi="Times New Roman" w:cs="Times New Roman"/>
        </w:rPr>
        <w:t>the CoC</w:t>
      </w:r>
      <w:r w:rsidR="006B4AEC" w:rsidRPr="00F812FA">
        <w:rPr>
          <w:rFonts w:ascii="Times New Roman" w:hAnsi="Times New Roman" w:cs="Times New Roman"/>
        </w:rPr>
        <w:t xml:space="preserve"> (Para 23)</w:t>
      </w:r>
      <w:r w:rsidR="00394A52" w:rsidRPr="00F812FA">
        <w:rPr>
          <w:rFonts w:ascii="Times New Roman" w:hAnsi="Times New Roman" w:cs="Times New Roman"/>
        </w:rPr>
        <w:t>.</w:t>
      </w:r>
      <w:r w:rsidR="00DC2A0F" w:rsidRPr="00770BA1">
        <w:rPr>
          <w:rFonts w:ascii="Times New Roman" w:hAnsi="Times New Roman" w:cs="Times New Roman"/>
        </w:rPr>
        <w:t xml:space="preserve"> The </w:t>
      </w:r>
      <w:r w:rsidR="00805E65" w:rsidRPr="00770BA1">
        <w:rPr>
          <w:rFonts w:ascii="Times New Roman" w:hAnsi="Times New Roman" w:cs="Times New Roman"/>
        </w:rPr>
        <w:t xml:space="preserve">NCLT further held that it considers it unnecessary </w:t>
      </w:r>
      <w:r w:rsidR="00D31AAC" w:rsidRPr="00F812FA">
        <w:rPr>
          <w:rFonts w:ascii="Times New Roman" w:hAnsi="Times New Roman" w:cs="Times New Roman"/>
        </w:rPr>
        <w:t xml:space="preserve">to interfere with the interim distribution of the </w:t>
      </w:r>
      <w:r w:rsidR="00D31AAC" w:rsidRPr="00770BA1">
        <w:rPr>
          <w:rFonts w:ascii="Times New Roman" w:hAnsi="Times New Roman" w:cs="Times New Roman"/>
        </w:rPr>
        <w:t>S</w:t>
      </w:r>
      <w:r w:rsidR="00D31AAC" w:rsidRPr="00F812FA">
        <w:rPr>
          <w:rFonts w:ascii="Times New Roman" w:hAnsi="Times New Roman" w:cs="Times New Roman"/>
        </w:rPr>
        <w:t>ale</w:t>
      </w:r>
      <w:r w:rsidR="00D31AAC" w:rsidRPr="00770BA1">
        <w:rPr>
          <w:rFonts w:ascii="Times New Roman" w:hAnsi="Times New Roman" w:cs="Times New Roman"/>
        </w:rPr>
        <w:t xml:space="preserve"> Proceeds in the ratio as resolved by the CoC in their commercial wisdom, however, the same shall be subject to the mandatory payments to be paid in priority as envisaged under Section 53 of the Code.</w:t>
      </w:r>
      <w:r w:rsidR="00770BA1" w:rsidRPr="00770BA1">
        <w:rPr>
          <w:rFonts w:ascii="Times New Roman" w:hAnsi="Times New Roman" w:cs="Times New Roman"/>
        </w:rPr>
        <w:t xml:space="preserve"> It further held that </w:t>
      </w:r>
      <w:r w:rsidR="00D31AAC" w:rsidRPr="00F812FA">
        <w:rPr>
          <w:rFonts w:ascii="Times New Roman" w:hAnsi="Times New Roman" w:cs="Times New Roman"/>
        </w:rPr>
        <w:t>the same is merely an interim distribution and would be</w:t>
      </w:r>
      <w:r w:rsidR="00770BA1" w:rsidRPr="00770BA1">
        <w:rPr>
          <w:rFonts w:ascii="Times New Roman" w:hAnsi="Times New Roman" w:cs="Times New Roman"/>
        </w:rPr>
        <w:t xml:space="preserve"> </w:t>
      </w:r>
      <w:r w:rsidR="00D31AAC" w:rsidRPr="00F812FA">
        <w:rPr>
          <w:rFonts w:ascii="Times New Roman" w:hAnsi="Times New Roman" w:cs="Times New Roman"/>
        </w:rPr>
        <w:t>subject to the final entitlement of the creditors as per section 30 of the</w:t>
      </w:r>
      <w:r w:rsidR="00770BA1" w:rsidRPr="00770BA1">
        <w:rPr>
          <w:rFonts w:ascii="Times New Roman" w:hAnsi="Times New Roman" w:cs="Times New Roman"/>
        </w:rPr>
        <w:t xml:space="preserve"> </w:t>
      </w:r>
      <w:r w:rsidR="00D31AAC" w:rsidRPr="00770BA1">
        <w:rPr>
          <w:rFonts w:ascii="Times New Roman" w:hAnsi="Times New Roman" w:cs="Times New Roman"/>
        </w:rPr>
        <w:t>Code (in case of resolution plan) or as per section 53 of the Code (in case</w:t>
      </w:r>
      <w:r w:rsidR="00770BA1" w:rsidRPr="00770BA1">
        <w:rPr>
          <w:rFonts w:ascii="Times New Roman" w:hAnsi="Times New Roman" w:cs="Times New Roman"/>
        </w:rPr>
        <w:t xml:space="preserve"> </w:t>
      </w:r>
      <w:r w:rsidR="00D31AAC" w:rsidRPr="00770BA1">
        <w:rPr>
          <w:rFonts w:ascii="Times New Roman" w:hAnsi="Times New Roman" w:cs="Times New Roman"/>
        </w:rPr>
        <w:t>of liquidation) and undertaking to reverse any excess amount paid to any</w:t>
      </w:r>
      <w:r w:rsidR="00770BA1" w:rsidRPr="00770BA1">
        <w:rPr>
          <w:rFonts w:ascii="Times New Roman" w:hAnsi="Times New Roman" w:cs="Times New Roman"/>
        </w:rPr>
        <w:t xml:space="preserve"> </w:t>
      </w:r>
      <w:r w:rsidR="00D31AAC" w:rsidRPr="00770BA1">
        <w:rPr>
          <w:rFonts w:ascii="Times New Roman" w:hAnsi="Times New Roman" w:cs="Times New Roman"/>
        </w:rPr>
        <w:t>creditor</w:t>
      </w:r>
      <w:r w:rsidR="00770BA1">
        <w:rPr>
          <w:rFonts w:ascii="Times New Roman" w:hAnsi="Times New Roman" w:cs="Times New Roman"/>
        </w:rPr>
        <w:t xml:space="preserve"> (Para 34)</w:t>
      </w:r>
      <w:r w:rsidR="00D31AAC" w:rsidRPr="00770BA1">
        <w:rPr>
          <w:rFonts w:ascii="Times New Roman" w:hAnsi="Times New Roman" w:cs="Times New Roman"/>
        </w:rPr>
        <w:t>.</w:t>
      </w:r>
    </w:p>
    <w:p w14:paraId="0F71F7F0" w14:textId="77777777" w:rsidR="00BD56F8" w:rsidRDefault="00BD56F8" w:rsidP="00BD56F8">
      <w:pPr>
        <w:pStyle w:val="ListParagraph"/>
        <w:jc w:val="both"/>
        <w:rPr>
          <w:rFonts w:ascii="Times New Roman" w:hAnsi="Times New Roman" w:cs="Times New Roman"/>
        </w:rPr>
      </w:pPr>
    </w:p>
    <w:p w14:paraId="429B3CEE" w14:textId="569BDBE8" w:rsidR="001E1F31" w:rsidRDefault="00BD56F8" w:rsidP="001E1F31">
      <w:pPr>
        <w:pStyle w:val="ListParagraph"/>
        <w:numPr>
          <w:ilvl w:val="0"/>
          <w:numId w:val="1"/>
        </w:numPr>
        <w:jc w:val="both"/>
        <w:rPr>
          <w:rFonts w:ascii="Times New Roman" w:hAnsi="Times New Roman" w:cs="Times New Roman"/>
        </w:rPr>
      </w:pPr>
      <w:r w:rsidRPr="001E1F31">
        <w:rPr>
          <w:rFonts w:ascii="Times New Roman" w:hAnsi="Times New Roman" w:cs="Times New Roman"/>
        </w:rPr>
        <w:t xml:space="preserve">We acknowledge that in furtherance to the Interim Distribution Order, and in order to distribute the Sale Proceeds amongst the holders of the underlying debentures </w:t>
      </w:r>
      <w:r w:rsidR="001E1F31">
        <w:rPr>
          <w:rFonts w:ascii="Times New Roman" w:hAnsi="Times New Roman" w:cs="Times New Roman"/>
        </w:rPr>
        <w:t>(“</w:t>
      </w:r>
      <w:r w:rsidR="001E1F31">
        <w:rPr>
          <w:rFonts w:ascii="Times New Roman" w:hAnsi="Times New Roman" w:cs="Times New Roman"/>
          <w:b/>
          <w:bCs/>
        </w:rPr>
        <w:t>ATSL Debentures</w:t>
      </w:r>
      <w:r w:rsidR="001E1F31">
        <w:rPr>
          <w:rFonts w:ascii="Times New Roman" w:hAnsi="Times New Roman" w:cs="Times New Roman"/>
        </w:rPr>
        <w:t xml:space="preserve">”) </w:t>
      </w:r>
      <w:r w:rsidR="001E1F31" w:rsidRPr="001E1F31">
        <w:rPr>
          <w:rFonts w:ascii="Times New Roman" w:hAnsi="Times New Roman" w:cs="Times New Roman"/>
        </w:rPr>
        <w:t>represented by Axis Trustee Services Limited (“</w:t>
      </w:r>
      <w:r w:rsidR="001E1F31" w:rsidRPr="001E1F31">
        <w:rPr>
          <w:rFonts w:ascii="Times New Roman" w:hAnsi="Times New Roman" w:cs="Times New Roman"/>
          <w:b/>
          <w:bCs/>
        </w:rPr>
        <w:t>ATSL</w:t>
      </w:r>
      <w:r w:rsidR="001E1F31" w:rsidRPr="001E1F31">
        <w:rPr>
          <w:rFonts w:ascii="Times New Roman" w:hAnsi="Times New Roman" w:cs="Times New Roman"/>
        </w:rPr>
        <w:t>”), the RP of FEL,</w:t>
      </w:r>
      <w:r w:rsidR="001E1F31">
        <w:rPr>
          <w:rFonts w:ascii="Times New Roman" w:hAnsi="Times New Roman" w:cs="Times New Roman"/>
        </w:rPr>
        <w:t xml:space="preserve"> </w:t>
      </w:r>
      <w:r w:rsidRPr="001E1F31">
        <w:rPr>
          <w:rFonts w:ascii="Times New Roman" w:hAnsi="Times New Roman" w:cs="Times New Roman"/>
        </w:rPr>
        <w:t xml:space="preserve">has fixed </w:t>
      </w:r>
      <w:r w:rsidR="00E50A2E">
        <w:rPr>
          <w:rFonts w:ascii="Times New Roman" w:hAnsi="Times New Roman" w:cs="Times New Roman"/>
        </w:rPr>
        <w:t>01 August 2025</w:t>
      </w:r>
      <w:r w:rsidRPr="001E1F31">
        <w:rPr>
          <w:rFonts w:ascii="Times New Roman" w:hAnsi="Times New Roman" w:cs="Times New Roman"/>
        </w:rPr>
        <w:t xml:space="preserve"> </w:t>
      </w:r>
      <w:r w:rsidR="001E1F31">
        <w:rPr>
          <w:rFonts w:ascii="Times New Roman" w:hAnsi="Times New Roman" w:cs="Times New Roman"/>
        </w:rPr>
        <w:t xml:space="preserve">as the record date </w:t>
      </w:r>
      <w:r w:rsidRPr="001E1F31">
        <w:rPr>
          <w:rFonts w:ascii="Times New Roman" w:hAnsi="Times New Roman" w:cs="Times New Roman"/>
        </w:rPr>
        <w:t>(“</w:t>
      </w:r>
      <w:r w:rsidRPr="001E1F31">
        <w:rPr>
          <w:rFonts w:ascii="Times New Roman" w:hAnsi="Times New Roman" w:cs="Times New Roman"/>
          <w:b/>
          <w:bCs/>
        </w:rPr>
        <w:t>Record Date</w:t>
      </w:r>
      <w:r w:rsidRPr="001E1F31">
        <w:rPr>
          <w:rFonts w:ascii="Times New Roman" w:hAnsi="Times New Roman" w:cs="Times New Roman"/>
        </w:rPr>
        <w:t>”)</w:t>
      </w:r>
      <w:r w:rsidR="001E1F31">
        <w:rPr>
          <w:rFonts w:ascii="Times New Roman" w:hAnsi="Times New Roman" w:cs="Times New Roman"/>
        </w:rPr>
        <w:t xml:space="preserve"> for determining </w:t>
      </w:r>
      <w:r w:rsidRPr="001E1F31">
        <w:rPr>
          <w:rFonts w:ascii="Times New Roman" w:hAnsi="Times New Roman" w:cs="Times New Roman"/>
        </w:rPr>
        <w:t>the eligibility of</w:t>
      </w:r>
      <w:r w:rsidR="001E1F31">
        <w:rPr>
          <w:rFonts w:ascii="Times New Roman" w:hAnsi="Times New Roman" w:cs="Times New Roman"/>
        </w:rPr>
        <w:t xml:space="preserve"> the holders of the</w:t>
      </w:r>
      <w:r w:rsidRPr="001E1F31">
        <w:rPr>
          <w:rFonts w:ascii="Times New Roman" w:hAnsi="Times New Roman" w:cs="Times New Roman"/>
        </w:rPr>
        <w:t xml:space="preserve"> </w:t>
      </w:r>
      <w:r w:rsidR="001E1F31">
        <w:rPr>
          <w:rFonts w:ascii="Times New Roman" w:hAnsi="Times New Roman" w:cs="Times New Roman"/>
        </w:rPr>
        <w:t>ATSL D</w:t>
      </w:r>
      <w:r w:rsidRPr="001E1F31">
        <w:rPr>
          <w:rFonts w:ascii="Times New Roman" w:hAnsi="Times New Roman" w:cs="Times New Roman"/>
        </w:rPr>
        <w:t xml:space="preserve">ebenture </w:t>
      </w:r>
      <w:r w:rsidR="001E1F31">
        <w:rPr>
          <w:rFonts w:ascii="Times New Roman" w:hAnsi="Times New Roman" w:cs="Times New Roman"/>
        </w:rPr>
        <w:t>H</w:t>
      </w:r>
      <w:r w:rsidRPr="001E1F31">
        <w:rPr>
          <w:rFonts w:ascii="Times New Roman" w:hAnsi="Times New Roman" w:cs="Times New Roman"/>
        </w:rPr>
        <w:t>older</w:t>
      </w:r>
      <w:r w:rsidR="001E1F31">
        <w:rPr>
          <w:rFonts w:ascii="Times New Roman" w:hAnsi="Times New Roman" w:cs="Times New Roman"/>
        </w:rPr>
        <w:t xml:space="preserve"> (“</w:t>
      </w:r>
      <w:r w:rsidR="001E1F31">
        <w:rPr>
          <w:rFonts w:ascii="Times New Roman" w:hAnsi="Times New Roman" w:cs="Times New Roman"/>
          <w:b/>
          <w:bCs/>
        </w:rPr>
        <w:t>Eligible Debenture Holders</w:t>
      </w:r>
      <w:r w:rsidR="001E1F31">
        <w:rPr>
          <w:rFonts w:ascii="Times New Roman" w:hAnsi="Times New Roman" w:cs="Times New Roman"/>
        </w:rPr>
        <w:t>”)</w:t>
      </w:r>
      <w:r w:rsidRPr="001E1F31">
        <w:rPr>
          <w:rFonts w:ascii="Times New Roman" w:hAnsi="Times New Roman" w:cs="Times New Roman"/>
        </w:rPr>
        <w:t xml:space="preserve"> to receive interim distribution of the Sale Proceeds</w:t>
      </w:r>
      <w:r w:rsidR="001E1F31">
        <w:rPr>
          <w:rFonts w:ascii="Times New Roman" w:hAnsi="Times New Roman" w:cs="Times New Roman"/>
        </w:rPr>
        <w:t>.</w:t>
      </w:r>
      <w:r w:rsidRPr="001E1F31">
        <w:rPr>
          <w:rFonts w:ascii="Times New Roman" w:hAnsi="Times New Roman" w:cs="Times New Roman"/>
        </w:rPr>
        <w:t xml:space="preserve">  </w:t>
      </w:r>
    </w:p>
    <w:p w14:paraId="587D41FD" w14:textId="77777777" w:rsidR="001E1F31" w:rsidRPr="001E1F31" w:rsidRDefault="001E1F31" w:rsidP="006035BC">
      <w:pPr>
        <w:pStyle w:val="ListParagraph"/>
        <w:rPr>
          <w:rFonts w:ascii="Times New Roman" w:hAnsi="Times New Roman" w:cs="Times New Roman"/>
        </w:rPr>
      </w:pPr>
    </w:p>
    <w:p w14:paraId="7E08D0EF" w14:textId="785BFC04" w:rsidR="00790A69" w:rsidRPr="006035BC" w:rsidRDefault="001E1F31" w:rsidP="00067A4F">
      <w:pPr>
        <w:pStyle w:val="ListParagraph"/>
        <w:numPr>
          <w:ilvl w:val="0"/>
          <w:numId w:val="1"/>
        </w:numPr>
        <w:jc w:val="both"/>
        <w:rPr>
          <w:rFonts w:ascii="Times New Roman" w:hAnsi="Times New Roman" w:cs="Times New Roman"/>
        </w:rPr>
      </w:pPr>
      <w:r w:rsidRPr="006035BC">
        <w:rPr>
          <w:rFonts w:ascii="Times New Roman" w:hAnsi="Times New Roman" w:cs="Times New Roman"/>
        </w:rPr>
        <w:t xml:space="preserve">We </w:t>
      </w:r>
      <w:r w:rsidR="00250CD3">
        <w:rPr>
          <w:rFonts w:ascii="Times New Roman" w:hAnsi="Times New Roman" w:cs="Times New Roman"/>
        </w:rPr>
        <w:t xml:space="preserve">confirm </w:t>
      </w:r>
      <w:r w:rsidRPr="006035BC">
        <w:rPr>
          <w:rFonts w:ascii="Times New Roman" w:hAnsi="Times New Roman" w:cs="Times New Roman"/>
        </w:rPr>
        <w:t xml:space="preserve">that </w:t>
      </w:r>
      <w:r w:rsidR="00250CD3">
        <w:rPr>
          <w:rFonts w:ascii="Times New Roman" w:hAnsi="Times New Roman" w:cs="Times New Roman"/>
        </w:rPr>
        <w:t xml:space="preserve">as </w:t>
      </w:r>
      <w:r w:rsidRPr="006035BC">
        <w:rPr>
          <w:rFonts w:ascii="Times New Roman" w:hAnsi="Times New Roman" w:cs="Times New Roman"/>
        </w:rPr>
        <w:t>on the Record Date, we hold [</w:t>
      </w:r>
      <w:r w:rsidRPr="00E50A2E">
        <w:rPr>
          <w:rFonts w:ascii="Times New Roman" w:hAnsi="Times New Roman" w:cs="Times New Roman"/>
          <w:i/>
          <w:iCs/>
          <w:highlight w:val="yellow"/>
        </w:rPr>
        <w:t>insert number of debentures held on the Record Date</w:t>
      </w:r>
      <w:r w:rsidRPr="006035BC">
        <w:rPr>
          <w:rFonts w:ascii="Times New Roman" w:hAnsi="Times New Roman" w:cs="Times New Roman"/>
          <w:i/>
          <w:iCs/>
        </w:rPr>
        <w:t xml:space="preserve">] </w:t>
      </w:r>
      <w:r w:rsidRPr="00067A4F">
        <w:rPr>
          <w:rFonts w:ascii="Times New Roman" w:hAnsi="Times New Roman" w:cs="Times New Roman"/>
        </w:rPr>
        <w:t>ATSL Debentures</w:t>
      </w:r>
      <w:r w:rsidR="00250353">
        <w:rPr>
          <w:rFonts w:ascii="Times New Roman" w:hAnsi="Times New Roman" w:cs="Times New Roman"/>
        </w:rPr>
        <w:t xml:space="preserve"> (“</w:t>
      </w:r>
      <w:r w:rsidR="00250353">
        <w:rPr>
          <w:rFonts w:ascii="Times New Roman" w:hAnsi="Times New Roman" w:cs="Times New Roman"/>
          <w:b/>
          <w:bCs/>
        </w:rPr>
        <w:t>Record Date Debentures</w:t>
      </w:r>
      <w:r w:rsidR="00250353">
        <w:rPr>
          <w:rFonts w:ascii="Times New Roman" w:hAnsi="Times New Roman" w:cs="Times New Roman"/>
        </w:rPr>
        <w:t>”)</w:t>
      </w:r>
      <w:r w:rsidRPr="006035BC">
        <w:rPr>
          <w:rFonts w:ascii="Times New Roman" w:hAnsi="Times New Roman" w:cs="Times New Roman"/>
        </w:rPr>
        <w:t xml:space="preserve"> and </w:t>
      </w:r>
      <w:r w:rsidR="00311DE6">
        <w:rPr>
          <w:rFonts w:ascii="Times New Roman" w:hAnsi="Times New Roman" w:cs="Times New Roman"/>
        </w:rPr>
        <w:t xml:space="preserve">therefore, we </w:t>
      </w:r>
      <w:r w:rsidR="005D5AAE">
        <w:rPr>
          <w:rFonts w:ascii="Times New Roman" w:hAnsi="Times New Roman" w:cs="Times New Roman"/>
        </w:rPr>
        <w:t xml:space="preserve">will be the </w:t>
      </w:r>
      <w:r w:rsidR="00311DE6">
        <w:rPr>
          <w:rFonts w:ascii="Times New Roman" w:hAnsi="Times New Roman" w:cs="Times New Roman"/>
        </w:rPr>
        <w:t>Eligible Debenture Holders.</w:t>
      </w:r>
      <w:r w:rsidR="00C5173D">
        <w:rPr>
          <w:rFonts w:ascii="Times New Roman" w:hAnsi="Times New Roman" w:cs="Times New Roman"/>
        </w:rPr>
        <w:t xml:space="preserve"> </w:t>
      </w:r>
      <w:r w:rsidR="005D5AAE">
        <w:rPr>
          <w:rFonts w:ascii="Times New Roman" w:hAnsi="Times New Roman" w:cs="Times New Roman"/>
        </w:rPr>
        <w:t xml:space="preserve">We further acknowledge that </w:t>
      </w:r>
      <w:r w:rsidR="00EE06D3" w:rsidRPr="006035BC">
        <w:rPr>
          <w:rFonts w:ascii="Times New Roman" w:hAnsi="Times New Roman" w:cs="Times New Roman"/>
        </w:rPr>
        <w:t xml:space="preserve">pursuant to </w:t>
      </w:r>
      <w:r w:rsidR="0062191E" w:rsidRPr="006035BC">
        <w:rPr>
          <w:rFonts w:ascii="Times New Roman" w:hAnsi="Times New Roman" w:cs="Times New Roman"/>
        </w:rPr>
        <w:t xml:space="preserve">the </w:t>
      </w:r>
      <w:r w:rsidR="00EE06D3" w:rsidRPr="006035BC">
        <w:rPr>
          <w:rFonts w:ascii="Times New Roman" w:hAnsi="Times New Roman" w:cs="Times New Roman"/>
        </w:rPr>
        <w:t>Interim Distribution Order, an amount of INR [</w:t>
      </w:r>
      <w:r w:rsidR="00EE06D3" w:rsidRPr="00E50A2E">
        <w:rPr>
          <w:rFonts w:ascii="Times New Roman" w:hAnsi="Times New Roman" w:cs="Times New Roman"/>
          <w:highlight w:val="yellow"/>
        </w:rPr>
        <w:t>●</w:t>
      </w:r>
      <w:r w:rsidR="00EE06D3" w:rsidRPr="006035BC">
        <w:rPr>
          <w:rFonts w:ascii="Times New Roman" w:hAnsi="Times New Roman" w:cs="Times New Roman"/>
        </w:rPr>
        <w:t xml:space="preserve">] </w:t>
      </w:r>
      <w:r w:rsidR="00460299" w:rsidRPr="006035BC">
        <w:rPr>
          <w:rFonts w:ascii="Times New Roman" w:hAnsi="Times New Roman" w:cs="Times New Roman"/>
        </w:rPr>
        <w:t>(“</w:t>
      </w:r>
      <w:r w:rsidR="00460299" w:rsidRPr="006035BC">
        <w:rPr>
          <w:rFonts w:ascii="Times New Roman" w:hAnsi="Times New Roman" w:cs="Times New Roman"/>
          <w:b/>
          <w:bCs/>
        </w:rPr>
        <w:t>Interim Receipts</w:t>
      </w:r>
      <w:r w:rsidR="00460299" w:rsidRPr="006035BC">
        <w:rPr>
          <w:rFonts w:ascii="Times New Roman" w:hAnsi="Times New Roman" w:cs="Times New Roman"/>
        </w:rPr>
        <w:t xml:space="preserve">”) </w:t>
      </w:r>
      <w:r w:rsidR="00EE06D3" w:rsidRPr="006035BC">
        <w:rPr>
          <w:rFonts w:ascii="Times New Roman" w:hAnsi="Times New Roman" w:cs="Times New Roman"/>
        </w:rPr>
        <w:t>will be distributed to [</w:t>
      </w:r>
      <w:r w:rsidR="00EE06D3" w:rsidRPr="00E50A2E">
        <w:rPr>
          <w:rFonts w:ascii="Times New Roman" w:hAnsi="Times New Roman" w:cs="Times New Roman"/>
          <w:i/>
          <w:iCs/>
          <w:highlight w:val="yellow"/>
        </w:rPr>
        <w:t>insert name of financial creditor</w:t>
      </w:r>
      <w:r w:rsidR="00EE06D3" w:rsidRPr="006035BC">
        <w:rPr>
          <w:rFonts w:ascii="Times New Roman" w:hAnsi="Times New Roman" w:cs="Times New Roman"/>
        </w:rPr>
        <w:t>]</w:t>
      </w:r>
      <w:r w:rsidR="000B5487" w:rsidRPr="006035BC">
        <w:rPr>
          <w:rFonts w:ascii="Times New Roman" w:hAnsi="Times New Roman" w:cs="Times New Roman"/>
        </w:rPr>
        <w:t xml:space="preserve">, which has been calculated </w:t>
      </w:r>
      <w:r w:rsidR="00C01D47" w:rsidRPr="006035BC">
        <w:rPr>
          <w:rFonts w:ascii="Times New Roman" w:hAnsi="Times New Roman" w:cs="Times New Roman"/>
        </w:rPr>
        <w:t>in accordance with the distribution mechanism approved by the CoC, after accounting for the mandatory payments to be paid in priority as envisaged under Section 53 of the Code</w:t>
      </w:r>
      <w:r w:rsidR="00EE06D3" w:rsidRPr="006035BC">
        <w:rPr>
          <w:rFonts w:ascii="Times New Roman" w:hAnsi="Times New Roman" w:cs="Times New Roman"/>
        </w:rPr>
        <w:t>.</w:t>
      </w:r>
    </w:p>
    <w:p w14:paraId="4BB37B15" w14:textId="77777777" w:rsidR="00714C19" w:rsidRPr="00BD56F8" w:rsidRDefault="00714C19" w:rsidP="00BD56F8">
      <w:pPr>
        <w:rPr>
          <w:rFonts w:ascii="Times New Roman" w:hAnsi="Times New Roman" w:cs="Times New Roman"/>
        </w:rPr>
      </w:pPr>
    </w:p>
    <w:p w14:paraId="72E0D021" w14:textId="48766A0B" w:rsidR="0078387E" w:rsidRDefault="00602B95" w:rsidP="00BD56F8">
      <w:pPr>
        <w:pStyle w:val="ListParagraph"/>
        <w:numPr>
          <w:ilvl w:val="0"/>
          <w:numId w:val="1"/>
        </w:numPr>
        <w:jc w:val="both"/>
        <w:rPr>
          <w:rFonts w:ascii="Times New Roman" w:hAnsi="Times New Roman" w:cs="Times New Roman"/>
        </w:rPr>
      </w:pPr>
      <w:r>
        <w:rPr>
          <w:rFonts w:ascii="Times New Roman" w:hAnsi="Times New Roman" w:cs="Times New Roman"/>
        </w:rPr>
        <w:t>Further, we hereby undertake to unconditionally refund/ return any amount that may be received by [</w:t>
      </w:r>
      <w:r w:rsidRPr="00E50A2E">
        <w:rPr>
          <w:rFonts w:ascii="Times New Roman" w:hAnsi="Times New Roman" w:cs="Times New Roman"/>
          <w:i/>
          <w:iCs/>
          <w:highlight w:val="yellow"/>
        </w:rPr>
        <w:t>insert name of financial creditor</w:t>
      </w:r>
      <w:r>
        <w:rPr>
          <w:rFonts w:ascii="Times New Roman" w:hAnsi="Times New Roman" w:cs="Times New Roman"/>
        </w:rPr>
        <w:t>]</w:t>
      </w:r>
      <w:r w:rsidR="006035BC">
        <w:rPr>
          <w:rFonts w:ascii="Times New Roman" w:hAnsi="Times New Roman" w:cs="Times New Roman"/>
        </w:rPr>
        <w:t xml:space="preserve"> in respect of the Record Date</w:t>
      </w:r>
      <w:r w:rsidR="00E86512">
        <w:rPr>
          <w:rFonts w:ascii="Times New Roman" w:hAnsi="Times New Roman" w:cs="Times New Roman"/>
        </w:rPr>
        <w:t xml:space="preserve"> Debentures</w:t>
      </w:r>
      <w:r>
        <w:rPr>
          <w:rFonts w:ascii="Times New Roman" w:hAnsi="Times New Roman" w:cs="Times New Roman"/>
        </w:rPr>
        <w:t xml:space="preserve">, </w:t>
      </w:r>
      <w:r w:rsidR="000F5F9A">
        <w:rPr>
          <w:rFonts w:ascii="Times New Roman" w:hAnsi="Times New Roman" w:cs="Times New Roman"/>
        </w:rPr>
        <w:t xml:space="preserve">to the extent </w:t>
      </w:r>
      <w:r w:rsidR="007E0B6F">
        <w:rPr>
          <w:rFonts w:ascii="Times New Roman" w:hAnsi="Times New Roman" w:cs="Times New Roman"/>
        </w:rPr>
        <w:t xml:space="preserve">it exceeds </w:t>
      </w:r>
      <w:r w:rsidR="00C13798">
        <w:rPr>
          <w:rFonts w:ascii="Times New Roman" w:hAnsi="Times New Roman" w:cs="Times New Roman"/>
        </w:rPr>
        <w:t xml:space="preserve">the </w:t>
      </w:r>
      <w:r w:rsidR="00753A7C">
        <w:rPr>
          <w:rFonts w:ascii="Times New Roman" w:hAnsi="Times New Roman" w:cs="Times New Roman"/>
        </w:rPr>
        <w:t xml:space="preserve">final entitlement </w:t>
      </w:r>
      <w:r w:rsidR="00C13798">
        <w:rPr>
          <w:rFonts w:ascii="Times New Roman" w:hAnsi="Times New Roman" w:cs="Times New Roman"/>
        </w:rPr>
        <w:t xml:space="preserve">with respect to the Record Date Debentures </w:t>
      </w:r>
      <w:r w:rsidR="0078387E" w:rsidRPr="00F812FA">
        <w:rPr>
          <w:rFonts w:ascii="Times New Roman" w:hAnsi="Times New Roman" w:cs="Times New Roman"/>
        </w:rPr>
        <w:t>as per section 30 of the Code (in case of resolution plan) or as per section 53 of the Code (in case of liquidation)</w:t>
      </w:r>
      <w:r w:rsidR="00C13798">
        <w:rPr>
          <w:rFonts w:ascii="Times New Roman" w:hAnsi="Times New Roman" w:cs="Times New Roman"/>
        </w:rPr>
        <w:t xml:space="preserve"> (“</w:t>
      </w:r>
      <w:r w:rsidR="00C13798" w:rsidRPr="00067A4F">
        <w:rPr>
          <w:rFonts w:ascii="Times New Roman" w:hAnsi="Times New Roman" w:cs="Times New Roman"/>
          <w:b/>
          <w:bCs/>
        </w:rPr>
        <w:t>Excess Refund Amount</w:t>
      </w:r>
      <w:r w:rsidR="00C13798">
        <w:rPr>
          <w:rFonts w:ascii="Times New Roman" w:hAnsi="Times New Roman" w:cs="Times New Roman"/>
        </w:rPr>
        <w:t>”)</w:t>
      </w:r>
      <w:r w:rsidR="0078387E" w:rsidRPr="00F812FA">
        <w:rPr>
          <w:rFonts w:ascii="Times New Roman" w:hAnsi="Times New Roman" w:cs="Times New Roman"/>
        </w:rPr>
        <w:t>.</w:t>
      </w:r>
    </w:p>
    <w:p w14:paraId="03C89404" w14:textId="77777777" w:rsidR="006035BC" w:rsidRPr="00067A4F" w:rsidRDefault="006035BC" w:rsidP="00067A4F">
      <w:pPr>
        <w:pStyle w:val="ListParagraph"/>
        <w:rPr>
          <w:rFonts w:ascii="Times New Roman" w:hAnsi="Times New Roman" w:cs="Times New Roman"/>
        </w:rPr>
      </w:pPr>
    </w:p>
    <w:p w14:paraId="1B45CFA5" w14:textId="4F597189" w:rsidR="00250353" w:rsidRDefault="006035BC" w:rsidP="00BD56F8">
      <w:pPr>
        <w:pStyle w:val="ListParagraph"/>
        <w:numPr>
          <w:ilvl w:val="0"/>
          <w:numId w:val="1"/>
        </w:numPr>
        <w:jc w:val="both"/>
        <w:rPr>
          <w:rFonts w:ascii="Times New Roman" w:hAnsi="Times New Roman" w:cs="Times New Roman"/>
        </w:rPr>
      </w:pPr>
      <w:r w:rsidRPr="006035BC">
        <w:rPr>
          <w:rFonts w:ascii="Times New Roman" w:hAnsi="Times New Roman" w:cs="Times New Roman"/>
        </w:rPr>
        <w:t xml:space="preserve">In case </w:t>
      </w:r>
      <w:r w:rsidR="006E58BC">
        <w:rPr>
          <w:rFonts w:ascii="Times New Roman" w:hAnsi="Times New Roman" w:cs="Times New Roman"/>
        </w:rPr>
        <w:t>any</w:t>
      </w:r>
      <w:r w:rsidRPr="006035BC">
        <w:rPr>
          <w:rFonts w:ascii="Times New Roman" w:hAnsi="Times New Roman" w:cs="Times New Roman"/>
        </w:rPr>
        <w:t xml:space="preserve"> </w:t>
      </w:r>
      <w:r w:rsidR="00250353">
        <w:rPr>
          <w:rFonts w:ascii="Times New Roman" w:hAnsi="Times New Roman" w:cs="Times New Roman"/>
        </w:rPr>
        <w:t xml:space="preserve">Record Date </w:t>
      </w:r>
      <w:r w:rsidRPr="006035BC">
        <w:rPr>
          <w:rFonts w:ascii="Times New Roman" w:hAnsi="Times New Roman" w:cs="Times New Roman"/>
        </w:rPr>
        <w:t xml:space="preserve">Debentures held by </w:t>
      </w:r>
      <w:r w:rsidRPr="00067A4F">
        <w:rPr>
          <w:rFonts w:ascii="Times New Roman" w:hAnsi="Times New Roman" w:cs="Times New Roman"/>
          <w:i/>
          <w:iCs/>
        </w:rPr>
        <w:t>[</w:t>
      </w:r>
      <w:r w:rsidRPr="00E50A2E">
        <w:rPr>
          <w:rFonts w:ascii="Times New Roman" w:hAnsi="Times New Roman" w:cs="Times New Roman"/>
          <w:i/>
          <w:iCs/>
          <w:highlight w:val="yellow"/>
        </w:rPr>
        <w:t>insert name of financial creditor</w:t>
      </w:r>
      <w:r w:rsidRPr="00067A4F">
        <w:rPr>
          <w:rFonts w:ascii="Times New Roman" w:hAnsi="Times New Roman" w:cs="Times New Roman"/>
        </w:rPr>
        <w:t>] are transferred</w:t>
      </w:r>
      <w:r w:rsidR="006E58BC">
        <w:rPr>
          <w:rFonts w:ascii="Times New Roman" w:hAnsi="Times New Roman" w:cs="Times New Roman"/>
        </w:rPr>
        <w:t xml:space="preserve"> (“</w:t>
      </w:r>
      <w:r w:rsidR="006E58BC">
        <w:rPr>
          <w:rFonts w:ascii="Times New Roman" w:hAnsi="Times New Roman" w:cs="Times New Roman"/>
          <w:b/>
          <w:bCs/>
        </w:rPr>
        <w:t>Transferred ATSL Debentures</w:t>
      </w:r>
      <w:r w:rsidR="006E58BC">
        <w:rPr>
          <w:rFonts w:ascii="Times New Roman" w:hAnsi="Times New Roman" w:cs="Times New Roman"/>
        </w:rPr>
        <w:t>”)</w:t>
      </w:r>
      <w:r w:rsidRPr="00067A4F">
        <w:rPr>
          <w:rFonts w:ascii="Times New Roman" w:hAnsi="Times New Roman" w:cs="Times New Roman"/>
        </w:rPr>
        <w:t xml:space="preserve"> subsequent to the receipt of the Interim Receipts</w:t>
      </w:r>
      <w:r w:rsidR="00B66E95">
        <w:rPr>
          <w:rFonts w:ascii="Times New Roman" w:hAnsi="Times New Roman" w:cs="Times New Roman"/>
        </w:rPr>
        <w:t xml:space="preserve"> by </w:t>
      </w:r>
      <w:r w:rsidR="00333043" w:rsidRPr="009B7702">
        <w:rPr>
          <w:rFonts w:ascii="Times New Roman" w:hAnsi="Times New Roman" w:cs="Times New Roman"/>
          <w:i/>
          <w:iCs/>
        </w:rPr>
        <w:t>[insert name of financial creditor</w:t>
      </w:r>
      <w:r w:rsidR="00333043" w:rsidRPr="009B7702">
        <w:rPr>
          <w:rFonts w:ascii="Times New Roman" w:hAnsi="Times New Roman" w:cs="Times New Roman"/>
        </w:rPr>
        <w:t>]</w:t>
      </w:r>
      <w:r w:rsidRPr="00067A4F">
        <w:rPr>
          <w:rFonts w:ascii="Times New Roman" w:hAnsi="Times New Roman" w:cs="Times New Roman"/>
        </w:rPr>
        <w:t xml:space="preserve">, we shall </w:t>
      </w:r>
      <w:r w:rsidR="00B66E95">
        <w:rPr>
          <w:rFonts w:ascii="Times New Roman" w:hAnsi="Times New Roman" w:cs="Times New Roman"/>
        </w:rPr>
        <w:t xml:space="preserve">intimate the RP of FEL of such transfer under Regulation 28 </w:t>
      </w:r>
      <w:r w:rsidR="00B66E95">
        <w:rPr>
          <w:rFonts w:ascii="Times New Roman" w:hAnsi="Times New Roman" w:cs="Times New Roman"/>
        </w:rPr>
        <w:lastRenderedPageBreak/>
        <w:t>of the CIRP Regulations</w:t>
      </w:r>
      <w:r w:rsidR="00824F7D">
        <w:rPr>
          <w:rFonts w:ascii="Times New Roman" w:hAnsi="Times New Roman" w:cs="Times New Roman"/>
        </w:rPr>
        <w:t xml:space="preserve">. </w:t>
      </w:r>
    </w:p>
    <w:p w14:paraId="603BA01E" w14:textId="77777777" w:rsidR="00250353" w:rsidRPr="00067A4F" w:rsidRDefault="00250353" w:rsidP="00067A4F">
      <w:pPr>
        <w:pStyle w:val="ListParagraph"/>
        <w:rPr>
          <w:rFonts w:ascii="Times New Roman" w:hAnsi="Times New Roman" w:cs="Times New Roman"/>
        </w:rPr>
      </w:pPr>
    </w:p>
    <w:p w14:paraId="1B14B09F" w14:textId="28F86D18" w:rsidR="006035BC" w:rsidRPr="006035BC" w:rsidRDefault="00824F7D" w:rsidP="00BD56F8">
      <w:pPr>
        <w:pStyle w:val="ListParagraph"/>
        <w:numPr>
          <w:ilvl w:val="0"/>
          <w:numId w:val="1"/>
        </w:numPr>
        <w:jc w:val="both"/>
        <w:rPr>
          <w:rFonts w:ascii="Times New Roman" w:hAnsi="Times New Roman" w:cs="Times New Roman"/>
        </w:rPr>
      </w:pPr>
      <w:r>
        <w:rPr>
          <w:rFonts w:ascii="Times New Roman" w:hAnsi="Times New Roman" w:cs="Times New Roman"/>
        </w:rPr>
        <w:t xml:space="preserve">We further undertake that </w:t>
      </w:r>
      <w:r w:rsidR="006E58BC" w:rsidRPr="009B7702">
        <w:rPr>
          <w:rFonts w:ascii="Times New Roman" w:hAnsi="Times New Roman" w:cs="Times New Roman"/>
          <w:i/>
          <w:iCs/>
        </w:rPr>
        <w:t>[</w:t>
      </w:r>
      <w:r w:rsidR="006E58BC" w:rsidRPr="00E50A2E">
        <w:rPr>
          <w:rFonts w:ascii="Times New Roman" w:hAnsi="Times New Roman" w:cs="Times New Roman"/>
          <w:i/>
          <w:iCs/>
          <w:highlight w:val="yellow"/>
        </w:rPr>
        <w:t>insert name of financial creditor</w:t>
      </w:r>
      <w:r w:rsidR="006E58BC" w:rsidRPr="009B7702">
        <w:rPr>
          <w:rFonts w:ascii="Times New Roman" w:hAnsi="Times New Roman" w:cs="Times New Roman"/>
        </w:rPr>
        <w:t>]</w:t>
      </w:r>
      <w:r w:rsidR="006E58BC">
        <w:rPr>
          <w:rFonts w:ascii="Times New Roman" w:hAnsi="Times New Roman" w:cs="Times New Roman"/>
        </w:rPr>
        <w:t xml:space="preserve"> and the transferee of </w:t>
      </w:r>
      <w:r w:rsidR="00BA2F49">
        <w:rPr>
          <w:rFonts w:ascii="Times New Roman" w:hAnsi="Times New Roman" w:cs="Times New Roman"/>
        </w:rPr>
        <w:t>any</w:t>
      </w:r>
      <w:r w:rsidR="00F93C00">
        <w:rPr>
          <w:rFonts w:ascii="Times New Roman" w:hAnsi="Times New Roman" w:cs="Times New Roman"/>
        </w:rPr>
        <w:t xml:space="preserve"> Transferred ATSL Debentures</w:t>
      </w:r>
      <w:r w:rsidR="00B66E95">
        <w:rPr>
          <w:rFonts w:ascii="Times New Roman" w:hAnsi="Times New Roman" w:cs="Times New Roman"/>
        </w:rPr>
        <w:t xml:space="preserve"> shall </w:t>
      </w:r>
      <w:r w:rsidR="006035BC" w:rsidRPr="00067A4F">
        <w:rPr>
          <w:rFonts w:ascii="Times New Roman" w:hAnsi="Times New Roman" w:cs="Times New Roman"/>
        </w:rPr>
        <w:t xml:space="preserve">be jointly and severally liable </w:t>
      </w:r>
      <w:r w:rsidR="00B66E95">
        <w:rPr>
          <w:rFonts w:ascii="Times New Roman" w:hAnsi="Times New Roman" w:cs="Times New Roman"/>
        </w:rPr>
        <w:t xml:space="preserve">to refund/ return </w:t>
      </w:r>
      <w:r w:rsidR="00C13798">
        <w:rPr>
          <w:rFonts w:ascii="Times New Roman" w:hAnsi="Times New Roman" w:cs="Times New Roman"/>
        </w:rPr>
        <w:t xml:space="preserve">the Excess Refund Amount </w:t>
      </w:r>
      <w:r w:rsidR="00B66E95">
        <w:rPr>
          <w:rFonts w:ascii="Times New Roman" w:hAnsi="Times New Roman" w:cs="Times New Roman"/>
        </w:rPr>
        <w:t>that may be received by [</w:t>
      </w:r>
      <w:r w:rsidR="00B66E95" w:rsidRPr="00E50A2E">
        <w:rPr>
          <w:rFonts w:ascii="Times New Roman" w:hAnsi="Times New Roman" w:cs="Times New Roman"/>
          <w:i/>
          <w:iCs/>
          <w:highlight w:val="yellow"/>
        </w:rPr>
        <w:t>insert name of financial creditor</w:t>
      </w:r>
      <w:r w:rsidR="00B66E95">
        <w:rPr>
          <w:rFonts w:ascii="Times New Roman" w:hAnsi="Times New Roman" w:cs="Times New Roman"/>
        </w:rPr>
        <w:t>]</w:t>
      </w:r>
      <w:r w:rsidR="00525F96">
        <w:rPr>
          <w:rFonts w:ascii="Times New Roman" w:hAnsi="Times New Roman" w:cs="Times New Roman"/>
        </w:rPr>
        <w:t xml:space="preserve"> to the bank account of FEL within the timelines indicated by the RP</w:t>
      </w:r>
      <w:r w:rsidR="001A3411">
        <w:rPr>
          <w:rFonts w:ascii="Times New Roman" w:hAnsi="Times New Roman" w:cs="Times New Roman"/>
        </w:rPr>
        <w:t xml:space="preserve">. </w:t>
      </w:r>
      <w:r w:rsidR="005A4DA3">
        <w:rPr>
          <w:rFonts w:ascii="Times New Roman" w:hAnsi="Times New Roman" w:cs="Times New Roman"/>
        </w:rPr>
        <w:t xml:space="preserve">We shall duly inform the transferee of any Transferred ATSL Debentures of such </w:t>
      </w:r>
      <w:r w:rsidR="0015438F">
        <w:rPr>
          <w:rFonts w:ascii="Times New Roman" w:hAnsi="Times New Roman" w:cs="Times New Roman"/>
        </w:rPr>
        <w:t>obligation with respect to the refund/ return of the Excess Refund Amount.</w:t>
      </w:r>
    </w:p>
    <w:p w14:paraId="359D86B0" w14:textId="77777777" w:rsidR="0078387E" w:rsidRPr="00F812FA" w:rsidRDefault="0078387E" w:rsidP="00F812FA">
      <w:pPr>
        <w:pStyle w:val="ListParagraph"/>
        <w:rPr>
          <w:rFonts w:ascii="Times New Roman" w:hAnsi="Times New Roman" w:cs="Times New Roman"/>
        </w:rPr>
      </w:pPr>
    </w:p>
    <w:p w14:paraId="3C00588B" w14:textId="1CFB7269" w:rsidR="00647554" w:rsidRPr="00647554" w:rsidRDefault="00647554" w:rsidP="00647554">
      <w:pPr>
        <w:pStyle w:val="ListParagraph"/>
        <w:numPr>
          <w:ilvl w:val="0"/>
          <w:numId w:val="1"/>
        </w:numPr>
        <w:jc w:val="both"/>
        <w:rPr>
          <w:rFonts w:ascii="Times New Roman" w:hAnsi="Times New Roman" w:cs="Times New Roman"/>
        </w:rPr>
      </w:pPr>
      <w:r w:rsidRPr="00647554">
        <w:rPr>
          <w:rFonts w:ascii="Times New Roman" w:hAnsi="Times New Roman" w:cs="Times New Roman"/>
        </w:rPr>
        <w:t>I hereby represent and warrant that I have the requisite power and authority to execute, deliver and perform my obligations</w:t>
      </w:r>
      <w:r w:rsidR="001C2046">
        <w:rPr>
          <w:rFonts w:ascii="Times New Roman" w:hAnsi="Times New Roman" w:cs="Times New Roman"/>
        </w:rPr>
        <w:t xml:space="preserve"> on behalf of </w:t>
      </w:r>
      <w:r w:rsidR="001C2046" w:rsidRPr="001E6338">
        <w:rPr>
          <w:rFonts w:ascii="Times New Roman" w:hAnsi="Times New Roman" w:cs="Times New Roman"/>
        </w:rPr>
        <w:t>[</w:t>
      </w:r>
      <w:r w:rsidR="001C2046" w:rsidRPr="00E50A2E">
        <w:rPr>
          <w:rFonts w:ascii="Times New Roman" w:hAnsi="Times New Roman" w:cs="Times New Roman"/>
          <w:i/>
          <w:iCs/>
          <w:highlight w:val="yellow"/>
        </w:rPr>
        <w:t>insert name of financial creditor</w:t>
      </w:r>
      <w:r w:rsidR="001C2046" w:rsidRPr="001E6338">
        <w:rPr>
          <w:rFonts w:ascii="Times New Roman" w:hAnsi="Times New Roman" w:cs="Times New Roman"/>
        </w:rPr>
        <w:t>]</w:t>
      </w:r>
      <w:r w:rsidRPr="00647554">
        <w:rPr>
          <w:rFonts w:ascii="Times New Roman" w:hAnsi="Times New Roman" w:cs="Times New Roman"/>
        </w:rPr>
        <w:t xml:space="preserve"> under this </w:t>
      </w:r>
      <w:r>
        <w:rPr>
          <w:rFonts w:ascii="Times New Roman" w:hAnsi="Times New Roman" w:cs="Times New Roman"/>
        </w:rPr>
        <w:t>U</w:t>
      </w:r>
      <w:r w:rsidRPr="00647554">
        <w:rPr>
          <w:rFonts w:ascii="Times New Roman" w:hAnsi="Times New Roman" w:cs="Times New Roman"/>
        </w:rPr>
        <w:t>ndertaking.</w:t>
      </w:r>
    </w:p>
    <w:p w14:paraId="7451A1C3" w14:textId="77777777" w:rsidR="00647554" w:rsidRPr="00316D18" w:rsidRDefault="00647554" w:rsidP="00647554">
      <w:pPr>
        <w:pBdr>
          <w:top w:val="nil"/>
          <w:left w:val="nil"/>
          <w:bottom w:val="nil"/>
          <w:right w:val="nil"/>
          <w:between w:val="nil"/>
        </w:pBdr>
        <w:spacing w:line="276" w:lineRule="auto"/>
        <w:ind w:left="720" w:hanging="720"/>
        <w:jc w:val="both"/>
        <w:rPr>
          <w:rFonts w:ascii="Arial" w:hAnsi="Arial" w:cs="Arial"/>
          <w:color w:val="000000"/>
        </w:rPr>
      </w:pPr>
    </w:p>
    <w:p w14:paraId="7AB7AACD" w14:textId="297385F7" w:rsidR="00647554" w:rsidRPr="00D40F87" w:rsidRDefault="00647554" w:rsidP="00D40F87">
      <w:pPr>
        <w:pStyle w:val="ListParagraph"/>
        <w:numPr>
          <w:ilvl w:val="0"/>
          <w:numId w:val="1"/>
        </w:numPr>
        <w:jc w:val="both"/>
        <w:rPr>
          <w:rFonts w:ascii="Times New Roman" w:hAnsi="Times New Roman" w:cs="Times New Roman"/>
        </w:rPr>
      </w:pPr>
      <w:bookmarkStart w:id="0" w:name="_gjdgxs" w:colFirst="0" w:colLast="0"/>
      <w:bookmarkEnd w:id="0"/>
      <w:r w:rsidRPr="00D40F87">
        <w:rPr>
          <w:rFonts w:ascii="Times New Roman" w:hAnsi="Times New Roman" w:cs="Times New Roman"/>
        </w:rPr>
        <w:t xml:space="preserve">This </w:t>
      </w:r>
      <w:r w:rsidR="004B5D90">
        <w:rPr>
          <w:rFonts w:ascii="Times New Roman" w:hAnsi="Times New Roman" w:cs="Times New Roman"/>
        </w:rPr>
        <w:t>U</w:t>
      </w:r>
      <w:r w:rsidRPr="00D40F87">
        <w:rPr>
          <w:rFonts w:ascii="Times New Roman" w:hAnsi="Times New Roman" w:cs="Times New Roman"/>
        </w:rPr>
        <w:t xml:space="preserve">ndertaking and any dispute, claim or obligation arising out of or in connection with it shall be governed by and construed in accordance with Indian laws and the courts and tribunals at Mumbai shall have exclusive jurisdiction over matters arising out of or relating to this </w:t>
      </w:r>
      <w:r w:rsidR="004B5D90">
        <w:rPr>
          <w:rFonts w:ascii="Times New Roman" w:hAnsi="Times New Roman" w:cs="Times New Roman"/>
        </w:rPr>
        <w:t>U</w:t>
      </w:r>
      <w:r w:rsidRPr="00D40F87">
        <w:rPr>
          <w:rFonts w:ascii="Times New Roman" w:hAnsi="Times New Roman" w:cs="Times New Roman"/>
        </w:rPr>
        <w:t>ndertaking.</w:t>
      </w:r>
    </w:p>
    <w:p w14:paraId="533018DB" w14:textId="77777777" w:rsidR="001E6338" w:rsidRPr="001E6338" w:rsidRDefault="001E6338" w:rsidP="001E6338">
      <w:pPr>
        <w:pStyle w:val="ListParagraph"/>
        <w:jc w:val="both"/>
        <w:rPr>
          <w:rFonts w:ascii="Times New Roman" w:hAnsi="Times New Roman" w:cs="Times New Roman"/>
        </w:rPr>
      </w:pPr>
    </w:p>
    <w:p w14:paraId="7097DA18" w14:textId="33B3B8BE" w:rsidR="001E6338" w:rsidRPr="001E6338" w:rsidRDefault="001E6338" w:rsidP="001E6338">
      <w:pPr>
        <w:pStyle w:val="ListParagraph"/>
        <w:jc w:val="both"/>
        <w:rPr>
          <w:rFonts w:ascii="Times New Roman" w:hAnsi="Times New Roman" w:cs="Times New Roman"/>
        </w:rPr>
      </w:pPr>
      <w:r w:rsidRPr="001E6338">
        <w:rPr>
          <w:rFonts w:ascii="Times New Roman" w:hAnsi="Times New Roman" w:cs="Times New Roman"/>
        </w:rPr>
        <w:t>Signed for and on behalf of [</w:t>
      </w:r>
      <w:r w:rsidRPr="00E50A2E">
        <w:rPr>
          <w:rFonts w:ascii="Times New Roman" w:hAnsi="Times New Roman" w:cs="Times New Roman"/>
          <w:i/>
          <w:iCs/>
          <w:highlight w:val="yellow"/>
        </w:rPr>
        <w:t>insert name of financial creditor</w:t>
      </w:r>
      <w:r w:rsidRPr="001E6338">
        <w:rPr>
          <w:rFonts w:ascii="Times New Roman" w:hAnsi="Times New Roman" w:cs="Times New Roman"/>
        </w:rPr>
        <w:t>]</w:t>
      </w:r>
    </w:p>
    <w:p w14:paraId="2AE25840" w14:textId="38B105E8" w:rsidR="001E6338" w:rsidRPr="001E6338" w:rsidRDefault="001E6338" w:rsidP="001E6338">
      <w:pPr>
        <w:rPr>
          <w:rFonts w:ascii="Times New Roman" w:hAnsi="Times New Roman" w:cs="Times New Roman"/>
        </w:rPr>
      </w:pPr>
      <w:r w:rsidRPr="001E6338">
        <w:rPr>
          <w:noProof/>
        </w:rPr>
        <mc:AlternateContent>
          <mc:Choice Requires="wps">
            <w:drawing>
              <wp:anchor distT="0" distB="0" distL="0" distR="0" simplePos="0" relativeHeight="251659264" behindDoc="1" locked="0" layoutInCell="1" allowOverlap="1" wp14:anchorId="7CF6985F" wp14:editId="2A27B650">
                <wp:simplePos x="0" y="0"/>
                <wp:positionH relativeFrom="margin">
                  <wp:posOffset>451402</wp:posOffset>
                </wp:positionH>
                <wp:positionV relativeFrom="paragraph">
                  <wp:posOffset>192764</wp:posOffset>
                </wp:positionV>
                <wp:extent cx="2514600" cy="0"/>
                <wp:effectExtent l="12700" t="6985" r="6350" b="1206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C258A" id="Straight Connector 1" o:spid="_x0000_s1026" style="position:absolute;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35.55pt,15.2pt" to="233.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" strokeweight=".48pt">
                <w10:wrap type="topAndBottom" anchorx="margin"/>
              </v:line>
            </w:pict>
          </mc:Fallback>
        </mc:AlternateContent>
      </w:r>
    </w:p>
    <w:p w14:paraId="4860669E" w14:textId="3B409C18" w:rsidR="001E6338" w:rsidRPr="001E6338" w:rsidRDefault="001E6338" w:rsidP="001E6338">
      <w:pPr>
        <w:pStyle w:val="ListParagraph"/>
        <w:jc w:val="both"/>
        <w:rPr>
          <w:rFonts w:ascii="Times New Roman" w:hAnsi="Times New Roman" w:cs="Times New Roman"/>
        </w:rPr>
      </w:pPr>
    </w:p>
    <w:p w14:paraId="354D8D4C" w14:textId="77777777" w:rsidR="001E6338" w:rsidRPr="001E6338" w:rsidRDefault="001E6338" w:rsidP="001E6338">
      <w:pPr>
        <w:pStyle w:val="ListParagraph"/>
        <w:jc w:val="both"/>
        <w:rPr>
          <w:rFonts w:ascii="Times New Roman" w:hAnsi="Times New Roman" w:cs="Times New Roman"/>
        </w:rPr>
      </w:pPr>
    </w:p>
    <w:p w14:paraId="7B32648A" w14:textId="77777777" w:rsidR="001E6338" w:rsidRPr="001E6338" w:rsidRDefault="001E6338" w:rsidP="001E6338">
      <w:pPr>
        <w:pStyle w:val="ListParagraph"/>
        <w:jc w:val="both"/>
        <w:rPr>
          <w:rFonts w:ascii="Times New Roman" w:hAnsi="Times New Roman" w:cs="Times New Roman"/>
        </w:rPr>
      </w:pPr>
      <w:r w:rsidRPr="001E6338">
        <w:rPr>
          <w:rFonts w:ascii="Times New Roman" w:hAnsi="Times New Roman" w:cs="Times New Roman"/>
        </w:rPr>
        <w:t>Signature and official stamp</w:t>
      </w:r>
    </w:p>
    <w:p w14:paraId="5747EA5B" w14:textId="77777777" w:rsidR="001E6338" w:rsidRPr="001E6338" w:rsidRDefault="001E6338" w:rsidP="001E6338">
      <w:pPr>
        <w:pStyle w:val="ListParagraph"/>
        <w:jc w:val="both"/>
        <w:rPr>
          <w:rFonts w:ascii="Times New Roman" w:hAnsi="Times New Roman" w:cs="Times New Roman"/>
        </w:rPr>
      </w:pPr>
    </w:p>
    <w:p w14:paraId="0EF474C3" w14:textId="7CA92408" w:rsidR="004D66CE" w:rsidRDefault="004D66CE" w:rsidP="001E6338">
      <w:pPr>
        <w:pStyle w:val="ListParagraph"/>
        <w:jc w:val="both"/>
        <w:rPr>
          <w:rFonts w:ascii="Times New Roman" w:hAnsi="Times New Roman" w:cs="Times New Roman"/>
        </w:rPr>
      </w:pPr>
    </w:p>
    <w:p w14:paraId="15767668" w14:textId="501E9ADD" w:rsidR="001E6338" w:rsidRPr="00F60BA4" w:rsidRDefault="001E6338" w:rsidP="00F60BA4">
      <w:pPr>
        <w:widowControl/>
        <w:spacing w:after="160" w:line="278" w:lineRule="auto"/>
        <w:rPr>
          <w:rFonts w:ascii="Times New Roman" w:hAnsi="Times New Roman" w:cs="Times New Roman"/>
        </w:rPr>
      </w:pPr>
    </w:p>
    <w:sectPr w:rsidR="001E6338" w:rsidRPr="00F60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7A05"/>
    <w:multiLevelType w:val="hybridMultilevel"/>
    <w:tmpl w:val="DE96D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7118"/>
    <w:multiLevelType w:val="hybridMultilevel"/>
    <w:tmpl w:val="DE96DD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9500FA"/>
    <w:multiLevelType w:val="hybridMultilevel"/>
    <w:tmpl w:val="4E0A4B3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50602ED2"/>
    <w:multiLevelType w:val="hybridMultilevel"/>
    <w:tmpl w:val="DE96DD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6D1D10"/>
    <w:multiLevelType w:val="hybridMultilevel"/>
    <w:tmpl w:val="4754F58A"/>
    <w:lvl w:ilvl="0" w:tplc="04F0C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270675"/>
    <w:multiLevelType w:val="multilevel"/>
    <w:tmpl w:val="8C9E041C"/>
    <w:lvl w:ilvl="0">
      <w:start w:val="1"/>
      <w:numFmt w:val="decimal"/>
      <w:lvlText w:val="%1."/>
      <w:lvlJc w:val="left"/>
      <w:pPr>
        <w:ind w:left="119" w:hanging="528"/>
      </w:pPr>
      <w:rPr>
        <w:rFonts w:ascii="Arial" w:eastAsia="Times New Roman" w:hAnsi="Arial" w:cs="Arial" w:hint="default"/>
        <w:sz w:val="22"/>
        <w:szCs w:val="22"/>
      </w:rPr>
    </w:lvl>
    <w:lvl w:ilvl="1">
      <w:start w:val="1"/>
      <w:numFmt w:val="lowerRoman"/>
      <w:lvlText w:val="(%2)"/>
      <w:lvlJc w:val="left"/>
      <w:pPr>
        <w:ind w:left="839" w:hanging="374"/>
      </w:pPr>
      <w:rPr>
        <w:rFonts w:ascii="Arial" w:eastAsia="Times New Roman" w:hAnsi="Arial" w:cs="Arial" w:hint="default"/>
        <w:sz w:val="22"/>
        <w:szCs w:val="22"/>
      </w:rPr>
    </w:lvl>
    <w:lvl w:ilvl="2">
      <w:start w:val="1"/>
      <w:numFmt w:val="lowerLetter"/>
      <w:lvlText w:val="(%3)"/>
      <w:lvlJc w:val="left"/>
      <w:pPr>
        <w:ind w:left="1559" w:hanging="720"/>
      </w:pPr>
      <w:rPr>
        <w:rFonts w:ascii="Arial" w:eastAsia="Times New Roman" w:hAnsi="Arial" w:cs="Arial" w:hint="default"/>
        <w:sz w:val="22"/>
        <w:szCs w:val="22"/>
      </w:rPr>
    </w:lvl>
    <w:lvl w:ilvl="3">
      <w:start w:val="1"/>
      <w:numFmt w:val="bullet"/>
      <w:lvlText w:val="•"/>
      <w:lvlJc w:val="left"/>
      <w:pPr>
        <w:ind w:left="2591" w:hanging="719"/>
      </w:pPr>
    </w:lvl>
    <w:lvl w:ilvl="4">
      <w:start w:val="1"/>
      <w:numFmt w:val="bullet"/>
      <w:lvlText w:val="•"/>
      <w:lvlJc w:val="left"/>
      <w:pPr>
        <w:ind w:left="3622" w:hanging="720"/>
      </w:pPr>
    </w:lvl>
    <w:lvl w:ilvl="5">
      <w:start w:val="1"/>
      <w:numFmt w:val="bullet"/>
      <w:lvlText w:val="•"/>
      <w:lvlJc w:val="left"/>
      <w:pPr>
        <w:ind w:left="4654" w:hanging="720"/>
      </w:pPr>
    </w:lvl>
    <w:lvl w:ilvl="6">
      <w:start w:val="1"/>
      <w:numFmt w:val="bullet"/>
      <w:lvlText w:val="•"/>
      <w:lvlJc w:val="left"/>
      <w:pPr>
        <w:ind w:left="5685" w:hanging="720"/>
      </w:pPr>
    </w:lvl>
    <w:lvl w:ilvl="7">
      <w:start w:val="1"/>
      <w:numFmt w:val="bullet"/>
      <w:lvlText w:val="•"/>
      <w:lvlJc w:val="left"/>
      <w:pPr>
        <w:ind w:left="6717" w:hanging="720"/>
      </w:pPr>
    </w:lvl>
    <w:lvl w:ilvl="8">
      <w:start w:val="1"/>
      <w:numFmt w:val="bullet"/>
      <w:lvlText w:val="•"/>
      <w:lvlJc w:val="left"/>
      <w:pPr>
        <w:ind w:left="7748" w:hanging="720"/>
      </w:pPr>
    </w:lvl>
  </w:abstractNum>
  <w:abstractNum w:abstractNumId="6" w15:restartNumberingAfterBreak="0">
    <w:nsid w:val="6B38200F"/>
    <w:multiLevelType w:val="hybridMultilevel"/>
    <w:tmpl w:val="4E0A4B3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74633811"/>
    <w:multiLevelType w:val="hybridMultilevel"/>
    <w:tmpl w:val="4E0A4B36"/>
    <w:lvl w:ilvl="0" w:tplc="3418EF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185CB5"/>
    <w:multiLevelType w:val="hybridMultilevel"/>
    <w:tmpl w:val="DE96DD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6326075">
    <w:abstractNumId w:val="0"/>
  </w:num>
  <w:num w:numId="2" w16cid:durableId="276641028">
    <w:abstractNumId w:val="7"/>
  </w:num>
  <w:num w:numId="3" w16cid:durableId="1237595009">
    <w:abstractNumId w:val="5"/>
  </w:num>
  <w:num w:numId="4" w16cid:durableId="2023823054">
    <w:abstractNumId w:val="3"/>
  </w:num>
  <w:num w:numId="5" w16cid:durableId="219635740">
    <w:abstractNumId w:val="6"/>
  </w:num>
  <w:num w:numId="6" w16cid:durableId="77872464">
    <w:abstractNumId w:val="1"/>
  </w:num>
  <w:num w:numId="7" w16cid:durableId="891037023">
    <w:abstractNumId w:val="2"/>
  </w:num>
  <w:num w:numId="8" w16cid:durableId="1616523934">
    <w:abstractNumId w:val="4"/>
  </w:num>
  <w:num w:numId="9" w16cid:durableId="1168709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26"/>
    <w:rsid w:val="00060EAF"/>
    <w:rsid w:val="00067A4F"/>
    <w:rsid w:val="00076305"/>
    <w:rsid w:val="000B5487"/>
    <w:rsid w:val="000D4DA9"/>
    <w:rsid w:val="000E1022"/>
    <w:rsid w:val="000F4664"/>
    <w:rsid w:val="000F5F9A"/>
    <w:rsid w:val="00126F1F"/>
    <w:rsid w:val="001464CD"/>
    <w:rsid w:val="00147A14"/>
    <w:rsid w:val="0015438F"/>
    <w:rsid w:val="001A3411"/>
    <w:rsid w:val="001B7E99"/>
    <w:rsid w:val="001C2046"/>
    <w:rsid w:val="001E1F31"/>
    <w:rsid w:val="001E6338"/>
    <w:rsid w:val="00250353"/>
    <w:rsid w:val="00250CD3"/>
    <w:rsid w:val="00260687"/>
    <w:rsid w:val="00261F83"/>
    <w:rsid w:val="002C17B1"/>
    <w:rsid w:val="002D47F1"/>
    <w:rsid w:val="00311DE6"/>
    <w:rsid w:val="0031364E"/>
    <w:rsid w:val="00333043"/>
    <w:rsid w:val="00374417"/>
    <w:rsid w:val="00375726"/>
    <w:rsid w:val="003875EA"/>
    <w:rsid w:val="00393C52"/>
    <w:rsid w:val="00394A52"/>
    <w:rsid w:val="003A6828"/>
    <w:rsid w:val="003C5C24"/>
    <w:rsid w:val="0040319C"/>
    <w:rsid w:val="00431E70"/>
    <w:rsid w:val="00460299"/>
    <w:rsid w:val="00481554"/>
    <w:rsid w:val="004B5D90"/>
    <w:rsid w:val="004D66CE"/>
    <w:rsid w:val="00525F96"/>
    <w:rsid w:val="00527C37"/>
    <w:rsid w:val="005547DD"/>
    <w:rsid w:val="005A0050"/>
    <w:rsid w:val="005A4DA3"/>
    <w:rsid w:val="005C45E7"/>
    <w:rsid w:val="005D5AAE"/>
    <w:rsid w:val="00602B95"/>
    <w:rsid w:val="006035BC"/>
    <w:rsid w:val="0062191E"/>
    <w:rsid w:val="006267A4"/>
    <w:rsid w:val="00641C5B"/>
    <w:rsid w:val="00647554"/>
    <w:rsid w:val="006775B6"/>
    <w:rsid w:val="00693626"/>
    <w:rsid w:val="006A3C6F"/>
    <w:rsid w:val="006B4AEC"/>
    <w:rsid w:val="006E58BC"/>
    <w:rsid w:val="006F0FF8"/>
    <w:rsid w:val="00714C19"/>
    <w:rsid w:val="00753A7C"/>
    <w:rsid w:val="00770BA1"/>
    <w:rsid w:val="0078387E"/>
    <w:rsid w:val="00790A69"/>
    <w:rsid w:val="007B0EE5"/>
    <w:rsid w:val="007D5132"/>
    <w:rsid w:val="007E0B6F"/>
    <w:rsid w:val="00805E65"/>
    <w:rsid w:val="00824F7D"/>
    <w:rsid w:val="008268E6"/>
    <w:rsid w:val="00842B9F"/>
    <w:rsid w:val="0085690F"/>
    <w:rsid w:val="00862709"/>
    <w:rsid w:val="008641CF"/>
    <w:rsid w:val="00871C2A"/>
    <w:rsid w:val="008B38B5"/>
    <w:rsid w:val="00951252"/>
    <w:rsid w:val="00992052"/>
    <w:rsid w:val="009B4F17"/>
    <w:rsid w:val="00A32402"/>
    <w:rsid w:val="00A92514"/>
    <w:rsid w:val="00AD16AD"/>
    <w:rsid w:val="00AF1517"/>
    <w:rsid w:val="00B312E9"/>
    <w:rsid w:val="00B66E95"/>
    <w:rsid w:val="00B80747"/>
    <w:rsid w:val="00B9059D"/>
    <w:rsid w:val="00BA1B33"/>
    <w:rsid w:val="00BA2F49"/>
    <w:rsid w:val="00BA37F7"/>
    <w:rsid w:val="00BD56F8"/>
    <w:rsid w:val="00C01D47"/>
    <w:rsid w:val="00C13798"/>
    <w:rsid w:val="00C5173D"/>
    <w:rsid w:val="00C838BF"/>
    <w:rsid w:val="00CC4E0A"/>
    <w:rsid w:val="00D31AAC"/>
    <w:rsid w:val="00D40F87"/>
    <w:rsid w:val="00D47A5C"/>
    <w:rsid w:val="00D6238D"/>
    <w:rsid w:val="00D736AB"/>
    <w:rsid w:val="00D80ED4"/>
    <w:rsid w:val="00D843F1"/>
    <w:rsid w:val="00D92373"/>
    <w:rsid w:val="00DC2A0F"/>
    <w:rsid w:val="00DE5F1A"/>
    <w:rsid w:val="00E25FBD"/>
    <w:rsid w:val="00E50A2E"/>
    <w:rsid w:val="00E62B9E"/>
    <w:rsid w:val="00E86512"/>
    <w:rsid w:val="00ED7494"/>
    <w:rsid w:val="00EE06D3"/>
    <w:rsid w:val="00F22793"/>
    <w:rsid w:val="00F60BA4"/>
    <w:rsid w:val="00F61CF3"/>
    <w:rsid w:val="00F812FA"/>
    <w:rsid w:val="00F93C00"/>
    <w:rsid w:val="00FA0E93"/>
    <w:rsid w:val="00FC6B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833D"/>
  <w15:chartTrackingRefBased/>
  <w15:docId w15:val="{2C8D9154-D061-4B75-A905-E0C303A5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726"/>
    <w:pPr>
      <w:widowControl w:val="0"/>
      <w:spacing w:after="0" w:line="240" w:lineRule="auto"/>
    </w:pPr>
    <w:rPr>
      <w:rFonts w:ascii="Calibri" w:eastAsia="Calibri" w:hAnsi="Calibri" w:cs="Calibri"/>
      <w:kern w:val="0"/>
      <w:sz w:val="22"/>
      <w:szCs w:val="22"/>
      <w:lang w:eastAsia="en-IN" w:bidi="en-US"/>
      <w14:ligatures w14:val="none"/>
    </w:rPr>
  </w:style>
  <w:style w:type="paragraph" w:styleId="Heading1">
    <w:name w:val="heading 1"/>
    <w:basedOn w:val="Normal"/>
    <w:next w:val="Normal"/>
    <w:link w:val="Heading1Char"/>
    <w:uiPriority w:val="9"/>
    <w:qFormat/>
    <w:rsid w:val="00375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7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7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7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7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726"/>
    <w:rPr>
      <w:rFonts w:eastAsiaTheme="majorEastAsia" w:cstheme="majorBidi"/>
      <w:color w:val="272727" w:themeColor="text1" w:themeTint="D8"/>
    </w:rPr>
  </w:style>
  <w:style w:type="paragraph" w:styleId="Title">
    <w:name w:val="Title"/>
    <w:basedOn w:val="Normal"/>
    <w:next w:val="Normal"/>
    <w:link w:val="TitleChar"/>
    <w:uiPriority w:val="10"/>
    <w:qFormat/>
    <w:rsid w:val="003757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726"/>
    <w:pPr>
      <w:spacing w:before="160"/>
      <w:jc w:val="center"/>
    </w:pPr>
    <w:rPr>
      <w:i/>
      <w:iCs/>
      <w:color w:val="404040" w:themeColor="text1" w:themeTint="BF"/>
    </w:rPr>
  </w:style>
  <w:style w:type="character" w:customStyle="1" w:styleId="QuoteChar">
    <w:name w:val="Quote Char"/>
    <w:basedOn w:val="DefaultParagraphFont"/>
    <w:link w:val="Quote"/>
    <w:uiPriority w:val="29"/>
    <w:rsid w:val="00375726"/>
    <w:rPr>
      <w:i/>
      <w:iCs/>
      <w:color w:val="404040" w:themeColor="text1" w:themeTint="BF"/>
    </w:rPr>
  </w:style>
  <w:style w:type="paragraph" w:styleId="ListParagraph">
    <w:name w:val="List Paragraph"/>
    <w:basedOn w:val="Normal"/>
    <w:uiPriority w:val="34"/>
    <w:qFormat/>
    <w:rsid w:val="00375726"/>
    <w:pPr>
      <w:ind w:left="720"/>
      <w:contextualSpacing/>
    </w:pPr>
  </w:style>
  <w:style w:type="character" w:styleId="IntenseEmphasis">
    <w:name w:val="Intense Emphasis"/>
    <w:basedOn w:val="DefaultParagraphFont"/>
    <w:uiPriority w:val="21"/>
    <w:qFormat/>
    <w:rsid w:val="00375726"/>
    <w:rPr>
      <w:i/>
      <w:iCs/>
      <w:color w:val="0F4761" w:themeColor="accent1" w:themeShade="BF"/>
    </w:rPr>
  </w:style>
  <w:style w:type="paragraph" w:styleId="IntenseQuote">
    <w:name w:val="Intense Quote"/>
    <w:basedOn w:val="Normal"/>
    <w:next w:val="Normal"/>
    <w:link w:val="IntenseQuoteChar"/>
    <w:uiPriority w:val="30"/>
    <w:qFormat/>
    <w:rsid w:val="00375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726"/>
    <w:rPr>
      <w:i/>
      <w:iCs/>
      <w:color w:val="0F4761" w:themeColor="accent1" w:themeShade="BF"/>
    </w:rPr>
  </w:style>
  <w:style w:type="character" w:styleId="IntenseReference">
    <w:name w:val="Intense Reference"/>
    <w:basedOn w:val="DefaultParagraphFont"/>
    <w:uiPriority w:val="32"/>
    <w:qFormat/>
    <w:rsid w:val="00375726"/>
    <w:rPr>
      <w:b/>
      <w:bCs/>
      <w:smallCaps/>
      <w:color w:val="0F4761" w:themeColor="accent1" w:themeShade="BF"/>
      <w:spacing w:val="5"/>
    </w:rPr>
  </w:style>
  <w:style w:type="character" w:styleId="Hyperlink">
    <w:name w:val="Hyperlink"/>
    <w:basedOn w:val="DefaultParagraphFont"/>
    <w:uiPriority w:val="99"/>
    <w:unhideWhenUsed/>
    <w:rsid w:val="00375726"/>
    <w:rPr>
      <w:color w:val="467886" w:themeColor="hyperlink"/>
      <w:u w:val="single"/>
    </w:rPr>
  </w:style>
  <w:style w:type="paragraph" w:styleId="BodyText">
    <w:name w:val="Body Text"/>
    <w:basedOn w:val="Normal"/>
    <w:link w:val="BodyTextChar"/>
    <w:uiPriority w:val="1"/>
    <w:qFormat/>
    <w:rsid w:val="00375726"/>
    <w:pPr>
      <w:autoSpaceDE w:val="0"/>
      <w:autoSpaceDN w:val="0"/>
    </w:pPr>
    <w:rPr>
      <w:rFonts w:ascii="Times New Roman" w:eastAsia="Times New Roman" w:hAnsi="Times New Roman" w:cs="Times New Roman"/>
      <w:lang w:eastAsia="en-US" w:bidi="ar-SA"/>
    </w:rPr>
  </w:style>
  <w:style w:type="character" w:customStyle="1" w:styleId="BodyTextChar">
    <w:name w:val="Body Text Char"/>
    <w:basedOn w:val="DefaultParagraphFont"/>
    <w:link w:val="BodyText"/>
    <w:uiPriority w:val="1"/>
    <w:rsid w:val="00375726"/>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75726"/>
    <w:rPr>
      <w:color w:val="605E5C"/>
      <w:shd w:val="clear" w:color="auto" w:fill="E1DFDD"/>
    </w:rPr>
  </w:style>
  <w:style w:type="character" w:styleId="CommentReference">
    <w:name w:val="annotation reference"/>
    <w:basedOn w:val="DefaultParagraphFont"/>
    <w:uiPriority w:val="99"/>
    <w:semiHidden/>
    <w:unhideWhenUsed/>
    <w:rsid w:val="00714C19"/>
    <w:rPr>
      <w:sz w:val="16"/>
      <w:szCs w:val="16"/>
    </w:rPr>
  </w:style>
  <w:style w:type="paragraph" w:styleId="CommentText">
    <w:name w:val="annotation text"/>
    <w:basedOn w:val="Normal"/>
    <w:link w:val="CommentTextChar"/>
    <w:uiPriority w:val="99"/>
    <w:unhideWhenUsed/>
    <w:rsid w:val="00714C19"/>
    <w:rPr>
      <w:sz w:val="20"/>
      <w:szCs w:val="20"/>
    </w:rPr>
  </w:style>
  <w:style w:type="character" w:customStyle="1" w:styleId="CommentTextChar">
    <w:name w:val="Comment Text Char"/>
    <w:basedOn w:val="DefaultParagraphFont"/>
    <w:link w:val="CommentText"/>
    <w:uiPriority w:val="99"/>
    <w:rsid w:val="00714C19"/>
    <w:rPr>
      <w:rFonts w:ascii="Calibri" w:eastAsia="Calibri" w:hAnsi="Calibri" w:cs="Calibri"/>
      <w:kern w:val="0"/>
      <w:sz w:val="20"/>
      <w:szCs w:val="20"/>
      <w:lang w:eastAsia="en-IN" w:bidi="en-US"/>
      <w14:ligatures w14:val="none"/>
    </w:rPr>
  </w:style>
  <w:style w:type="paragraph" w:styleId="CommentSubject">
    <w:name w:val="annotation subject"/>
    <w:basedOn w:val="CommentText"/>
    <w:next w:val="CommentText"/>
    <w:link w:val="CommentSubjectChar"/>
    <w:uiPriority w:val="99"/>
    <w:semiHidden/>
    <w:unhideWhenUsed/>
    <w:rsid w:val="00714C19"/>
    <w:rPr>
      <w:b/>
      <w:bCs/>
    </w:rPr>
  </w:style>
  <w:style w:type="character" w:customStyle="1" w:styleId="CommentSubjectChar">
    <w:name w:val="Comment Subject Char"/>
    <w:basedOn w:val="CommentTextChar"/>
    <w:link w:val="CommentSubject"/>
    <w:uiPriority w:val="99"/>
    <w:semiHidden/>
    <w:rsid w:val="00714C19"/>
    <w:rPr>
      <w:rFonts w:ascii="Calibri" w:eastAsia="Calibri" w:hAnsi="Calibri" w:cs="Calibri"/>
      <w:b/>
      <w:bCs/>
      <w:kern w:val="0"/>
      <w:sz w:val="20"/>
      <w:szCs w:val="20"/>
      <w:lang w:eastAsia="en-IN" w:bidi="en-US"/>
      <w14:ligatures w14:val="none"/>
    </w:rPr>
  </w:style>
  <w:style w:type="paragraph" w:styleId="Revision">
    <w:name w:val="Revision"/>
    <w:hidden/>
    <w:uiPriority w:val="99"/>
    <w:semiHidden/>
    <w:rsid w:val="002C17B1"/>
    <w:pPr>
      <w:spacing w:after="0" w:line="240" w:lineRule="auto"/>
    </w:pPr>
    <w:rPr>
      <w:rFonts w:ascii="Calibri" w:eastAsia="Calibri" w:hAnsi="Calibri" w:cs="Calibri"/>
      <w:kern w:val="0"/>
      <w:sz w:val="22"/>
      <w:szCs w:val="22"/>
      <w:lang w:eastAsia="en-IN"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p.future@gmail.com" TargetMode="External"/><Relationship Id="rId5" Type="http://schemas.openxmlformats.org/officeDocument/2006/relationships/hyperlink" Target="mailto:avil@caav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Chandhiok &amp; Mahajan</dc:creator>
  <cp:keywords/>
  <dc:description/>
  <cp:lastModifiedBy>Author</cp:lastModifiedBy>
  <cp:revision>5</cp:revision>
  <dcterms:created xsi:type="dcterms:W3CDTF">2025-07-07T14:20:00Z</dcterms:created>
  <dcterms:modified xsi:type="dcterms:W3CDTF">2025-08-05T14:06:00Z</dcterms:modified>
</cp:coreProperties>
</file>